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方正小标宋简体" w:hAnsi="宋体" w:eastAsia="方正小标宋简体"/>
          <w:sz w:val="44"/>
          <w:szCs w:val="44"/>
        </w:rPr>
        <w:t>定安县国民经济和社会发展第十四个五年规划和二〇三五年远景目标纲要</w:t>
      </w:r>
    </w:p>
    <w:p>
      <w:pPr>
        <w:pStyle w:val="2"/>
        <w:wordWrap/>
        <w:rPr>
          <w:rFonts w:hint="eastAsia" w:ascii="仿宋_GB2312" w:eastAsia="仿宋_GB2312"/>
          <w:sz w:val="32"/>
          <w:szCs w:val="32"/>
        </w:rPr>
      </w:pPr>
    </w:p>
    <w:p>
      <w:pPr>
        <w:pStyle w:val="12"/>
        <w:ind w:left="0" w:leftChars="0" w:firstLine="0" w:firstLineChars="0"/>
        <w:jc w:val="center"/>
        <w:outlineLvl w:val="2"/>
        <w:rPr>
          <w:rFonts w:hint="eastAsia" w:ascii="黑体" w:hAnsi="黑体" w:eastAsia="黑体"/>
          <w:b/>
          <w:color w:val="auto"/>
          <w:sz w:val="44"/>
          <w:szCs w:val="44"/>
        </w:rPr>
      </w:pPr>
      <w:r>
        <w:rPr>
          <w:rFonts w:hint="eastAsia" w:ascii="黑体" w:hAnsi="黑体" w:eastAsia="黑体"/>
          <w:bCs/>
          <w:color w:val="auto"/>
          <w:sz w:val="44"/>
          <w:szCs w:val="44"/>
        </w:rPr>
        <w:t>前  言</w:t>
      </w:r>
    </w:p>
    <w:p>
      <w:pPr>
        <w:pStyle w:val="12"/>
        <w:spacing w:line="560" w:lineRule="exact"/>
        <w:ind w:firstLine="672" w:firstLineChars="200"/>
        <w:jc w:val="both"/>
        <w:rPr>
          <w:rFonts w:hint="eastAsia" w:ascii="仿宋_GB2312" w:hAnsi="仿宋_GB2312" w:eastAsia="仿宋_GB2312" w:cs="仿宋_GB2312"/>
          <w:color w:val="auto"/>
          <w:spacing w:val="8"/>
          <w:sz w:val="32"/>
          <w:szCs w:val="32"/>
          <w:shd w:val="clear" w:color="auto" w:fill="FFFFFF"/>
        </w:rPr>
      </w:pPr>
    </w:p>
    <w:p>
      <w:pPr>
        <w:pStyle w:val="12"/>
        <w:spacing w:line="560" w:lineRule="exact"/>
        <w:ind w:firstLine="672" w:firstLineChars="200"/>
        <w:jc w:val="both"/>
        <w:rPr>
          <w:rFonts w:hint="eastAsia" w:ascii="仿宋_GB2312" w:hAnsi="仿宋_GB2312" w:eastAsia="仿宋_GB2312"/>
          <w:color w:val="auto"/>
          <w:sz w:val="32"/>
          <w:szCs w:val="32"/>
        </w:rPr>
      </w:pPr>
      <w:r>
        <w:rPr>
          <w:rFonts w:hint="eastAsia" w:ascii="仿宋_GB2312" w:hAnsi="仿宋_GB2312" w:eastAsia="仿宋_GB2312" w:cs="仿宋_GB2312"/>
          <w:color w:val="auto"/>
          <w:spacing w:val="8"/>
          <w:sz w:val="32"/>
          <w:szCs w:val="32"/>
          <w:shd w:val="clear" w:color="auto" w:fill="FFFFFF"/>
        </w:rPr>
        <w:t>“十四五”时期是我国全面建成小康社会、实现第一个百年奋斗目标之后，乘势而上开启全面建设社会主义现代化国家新征程、向第二个百年奋斗目标进军的第一个五年，是海南高质量高标准建设中国特色自由贸易港的关键五年，也是定安全面融入“海澄文定”综合经济圈的第一个五年，更是推动定安县经济社会转型发展的关键阶段。</w:t>
      </w:r>
      <w:r>
        <w:rPr>
          <w:rFonts w:hint="eastAsia" w:ascii="仿宋_GB2312" w:hAnsi="仿宋_GB2312" w:eastAsia="仿宋_GB2312"/>
          <w:color w:val="auto"/>
          <w:sz w:val="32"/>
          <w:szCs w:val="32"/>
        </w:rPr>
        <w:t>站在新的历史起点，定安县需积极创新、力争上游，在践行“三区一中心”战略定位中主动作为，贡献定安智慧和担当。</w:t>
      </w:r>
    </w:p>
    <w:p>
      <w:pPr>
        <w:pStyle w:val="12"/>
        <w:spacing w:line="560" w:lineRule="exact"/>
        <w:ind w:firstLine="640" w:firstLineChars="200"/>
        <w:jc w:val="both"/>
        <w:rPr>
          <w:rFonts w:hint="eastAsia" w:ascii="仿宋_GB2312" w:eastAsia="仿宋_GB2312"/>
          <w:sz w:val="30"/>
          <w:szCs w:val="30"/>
        </w:rPr>
      </w:pPr>
      <w:r>
        <w:rPr>
          <w:rFonts w:hint="eastAsia" w:ascii="仿宋_GB2312" w:hAnsi="仿宋_GB2312" w:eastAsia="仿宋_GB2312"/>
          <w:color w:val="auto"/>
          <w:sz w:val="32"/>
          <w:szCs w:val="32"/>
        </w:rPr>
        <w:t>《定安县国民经济和社会发展第十四个五年规划和二○三五年远景目标纲要》是指导定安经济社会发展的战略性、纲领性和综合性规划，主要体现县委、县政府的战略意图和改革发展要求，着重阐述今后五年定安县建设发展的</w:t>
      </w:r>
      <w:bookmarkStart w:id="0" w:name="_Toc270241523"/>
      <w:r>
        <w:rPr>
          <w:rFonts w:hint="eastAsia" w:ascii="仿宋_GB2312" w:hAnsi="仿宋_GB2312" w:eastAsia="仿宋_GB2312"/>
          <w:color w:val="auto"/>
          <w:sz w:val="32"/>
          <w:szCs w:val="32"/>
        </w:rPr>
        <w:t>指导思想、发展目标、主要任务和政策措施</w:t>
      </w:r>
      <w:bookmarkEnd w:id="0"/>
      <w:r>
        <w:rPr>
          <w:rFonts w:hint="eastAsia" w:ascii="仿宋_GB2312" w:hAnsi="仿宋_GB2312" w:eastAsia="仿宋_GB2312"/>
          <w:color w:val="auto"/>
          <w:sz w:val="32"/>
          <w:szCs w:val="32"/>
        </w:rPr>
        <w:t>，是全县人民共同行动的纲领，是政府履行职责的重要依据，是编制各类规划和年度计划的主要依据，是全县经济社会发展的宏伟蓝图。</w:t>
      </w:r>
    </w:p>
    <w:p>
      <w:pPr>
        <w:pStyle w:val="12"/>
        <w:spacing w:line="560" w:lineRule="exact"/>
        <w:ind w:left="0" w:leftChars="0" w:firstLine="0" w:firstLineChars="0"/>
        <w:jc w:val="both"/>
        <w:outlineLvl w:val="0"/>
        <w:rPr>
          <w:rFonts w:hint="eastAsia" w:ascii="黑体" w:hAnsi="黑体" w:eastAsia="黑体" w:cs="黑体"/>
          <w:bCs/>
          <w:color w:val="auto"/>
          <w:sz w:val="32"/>
          <w:szCs w:val="32"/>
        </w:rPr>
      </w:pPr>
      <w:bookmarkStart w:id="1" w:name="_Toc14720"/>
      <w:bookmarkStart w:id="2" w:name="_Toc6095"/>
      <w:bookmarkStart w:id="3" w:name="_Toc20765"/>
      <w:bookmarkStart w:id="4" w:name="_Toc54189157"/>
      <w:bookmarkStart w:id="5" w:name="_Toc4742"/>
      <w:bookmarkStart w:id="6" w:name="_Toc21130"/>
      <w:bookmarkStart w:id="7" w:name="_Toc482"/>
      <w:bookmarkStart w:id="8" w:name="_Toc21597"/>
      <w:bookmarkStart w:id="9" w:name="_Toc28484"/>
      <w:bookmarkStart w:id="10" w:name="_Toc54189174"/>
      <w:bookmarkStart w:id="11" w:name="_Toc11652"/>
      <w:bookmarkStart w:id="12" w:name="_Toc4095"/>
      <w:bookmarkStart w:id="13" w:name="_Toc24294"/>
    </w:p>
    <w:p>
      <w:pPr>
        <w:pStyle w:val="12"/>
        <w:spacing w:line="560" w:lineRule="exact"/>
        <w:jc w:val="center"/>
        <w:outlineLvl w:val="0"/>
        <w:rPr>
          <w:rFonts w:hint="eastAsia" w:ascii="黑体" w:hAnsi="黑体" w:eastAsia="黑体" w:cs="黑体"/>
          <w:bCs/>
          <w:color w:val="auto"/>
          <w:sz w:val="32"/>
          <w:szCs w:val="32"/>
        </w:rPr>
      </w:pPr>
    </w:p>
    <w:p>
      <w:pPr>
        <w:pStyle w:val="12"/>
        <w:keepNext w:val="0"/>
        <w:keepLines w:val="0"/>
        <w:pageBreakBefore w:val="0"/>
        <w:widowControl w:val="0"/>
        <w:kinsoku/>
        <w:wordWrap/>
        <w:overflowPunct/>
        <w:topLinePunct w:val="0"/>
        <w:bidi w:val="0"/>
        <w:snapToGrid/>
        <w:spacing w:after="241" w:afterLines="50" w:line="560" w:lineRule="exact"/>
        <w:ind w:left="0" w:leftChars="0" w:right="0" w:rightChars="0" w:firstLine="0" w:firstLineChars="0"/>
        <w:jc w:val="center"/>
        <w:textAlignment w:val="auto"/>
        <w:outlineLvl w:val="0"/>
        <w:rPr>
          <w:rFonts w:hint="eastAsia" w:ascii="黑体" w:hAnsi="黑体" w:eastAsia="黑体" w:cs="黑体"/>
          <w:bCs/>
          <w:color w:val="auto"/>
          <w:sz w:val="32"/>
          <w:szCs w:val="32"/>
        </w:rPr>
      </w:pPr>
    </w:p>
    <w:p>
      <w:pPr>
        <w:pStyle w:val="12"/>
        <w:keepNext w:val="0"/>
        <w:keepLines w:val="0"/>
        <w:pageBreakBefore w:val="0"/>
        <w:widowControl w:val="0"/>
        <w:kinsoku/>
        <w:wordWrap/>
        <w:overflowPunct/>
        <w:topLinePunct w:val="0"/>
        <w:bidi w:val="0"/>
        <w:snapToGrid/>
        <w:spacing w:after="241" w:afterLines="50" w:line="560" w:lineRule="exact"/>
        <w:ind w:left="0" w:leftChars="0" w:right="0" w:rightChars="0" w:firstLine="0" w:firstLineChars="0"/>
        <w:jc w:val="center"/>
        <w:textAlignment w:val="auto"/>
        <w:outlineLvl w:val="0"/>
        <w:rPr>
          <w:rFonts w:hint="eastAsia" w:ascii="黑体" w:hAnsi="黑体" w:eastAsia="黑体" w:cs="黑体"/>
          <w:bCs/>
          <w:color w:val="auto"/>
          <w:sz w:val="32"/>
          <w:szCs w:val="32"/>
        </w:rPr>
      </w:pPr>
    </w:p>
    <w:p>
      <w:pPr>
        <w:pStyle w:val="12"/>
        <w:keepNext w:val="0"/>
        <w:keepLines w:val="0"/>
        <w:pageBreakBefore w:val="0"/>
        <w:widowControl w:val="0"/>
        <w:kinsoku/>
        <w:wordWrap/>
        <w:overflowPunct/>
        <w:topLinePunct w:val="0"/>
        <w:bidi w:val="0"/>
        <w:snapToGrid/>
        <w:spacing w:after="241" w:afterLines="50" w:line="560" w:lineRule="exact"/>
        <w:ind w:left="0" w:leftChars="0" w:right="0" w:rightChars="0" w:firstLine="0" w:firstLineChars="0"/>
        <w:jc w:val="center"/>
        <w:textAlignment w:val="auto"/>
        <w:outlineLvl w:val="0"/>
        <w:rPr>
          <w:rFonts w:hint="eastAsia" w:ascii="楷体" w:hAnsi="楷体" w:eastAsia="楷体" w:cs="楷体"/>
          <w:b/>
          <w:bCs/>
          <w:sz w:val="32"/>
          <w:szCs w:val="32"/>
        </w:rPr>
      </w:pPr>
      <w:r>
        <w:rPr>
          <w:rFonts w:hint="eastAsia" w:ascii="黑体" w:hAnsi="黑体" w:eastAsia="黑体" w:cs="黑体"/>
          <w:bCs/>
          <w:color w:val="auto"/>
          <w:sz w:val="32"/>
          <w:szCs w:val="32"/>
        </w:rPr>
        <w:t>第一章  发展基础</w:t>
      </w:r>
      <w:bookmarkEnd w:id="1"/>
      <w:bookmarkEnd w:id="2"/>
      <w:bookmarkEnd w:id="3"/>
      <w:bookmarkEnd w:id="4"/>
      <w:bookmarkEnd w:id="5"/>
      <w:bookmarkEnd w:id="6"/>
      <w:bookmarkEnd w:id="7"/>
      <w:bookmarkEnd w:id="8"/>
      <w:bookmarkEnd w:id="9"/>
      <w:bookmarkEnd w:id="10"/>
      <w:bookmarkEnd w:id="11"/>
      <w:bookmarkEnd w:id="12"/>
      <w:bookmarkEnd w:id="13"/>
      <w:bookmarkStart w:id="14" w:name="_Toc27226"/>
      <w:bookmarkStart w:id="15" w:name="_Toc7136"/>
      <w:bookmarkStart w:id="16" w:name="_Toc29600"/>
      <w:bookmarkStart w:id="17" w:name="_Toc16498"/>
      <w:bookmarkStart w:id="18" w:name="_Toc54189175"/>
      <w:bookmarkStart w:id="19" w:name="_Toc10347"/>
      <w:bookmarkStart w:id="20" w:name="_Toc24073"/>
      <w:bookmarkStart w:id="21" w:name="_Toc22577"/>
      <w:bookmarkStart w:id="22" w:name="_Toc16776"/>
    </w:p>
    <w:p>
      <w:pPr>
        <w:keepNext w:val="0"/>
        <w:keepLines w:val="0"/>
        <w:pageBreakBefore w:val="0"/>
        <w:widowControl w:val="0"/>
        <w:kinsoku/>
        <w:wordWrap/>
        <w:overflowPunct/>
        <w:topLinePunct w:val="0"/>
        <w:autoSpaceDE/>
        <w:autoSpaceDN/>
        <w:bidi w:val="0"/>
        <w:adjustRightInd/>
        <w:snapToGrid/>
        <w:spacing w:before="241" w:beforeLines="50" w:after="241" w:afterLines="50" w:line="560" w:lineRule="exact"/>
        <w:ind w:left="0" w:leftChars="0" w:right="0" w:rightChars="0" w:firstLine="0" w:firstLineChars="0"/>
        <w:jc w:val="center"/>
        <w:textAlignment w:val="auto"/>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第一节  “十三五”时期取得的成绩</w:t>
      </w:r>
      <w:bookmarkEnd w:id="14"/>
      <w:bookmarkEnd w:id="15"/>
      <w:bookmarkEnd w:id="16"/>
      <w:bookmarkEnd w:id="17"/>
      <w:bookmarkEnd w:id="18"/>
      <w:bookmarkEnd w:id="19"/>
      <w:bookmarkEnd w:id="20"/>
      <w:bookmarkEnd w:id="21"/>
      <w:bookmarkEnd w:id="22"/>
    </w:p>
    <w:p>
      <w:pPr>
        <w:pStyle w:val="13"/>
        <w:keepNext w:val="0"/>
        <w:keepLines w:val="0"/>
        <w:pageBreakBefore w:val="0"/>
        <w:widowControl/>
        <w:kinsoku/>
        <w:wordWrap/>
        <w:overflowPunct/>
        <w:topLinePunct w:val="0"/>
        <w:autoSpaceDE/>
        <w:autoSpaceDN/>
        <w:bidi w:val="0"/>
        <w:adjustRightInd/>
        <w:snapToGrid/>
        <w:spacing w:after="241" w:afterLines="50" w:line="560" w:lineRule="exact"/>
        <w:ind w:left="0" w:leftChars="0" w:right="0" w:rightChars="0" w:firstLine="640" w:firstLineChars="200"/>
        <w:jc w:val="both"/>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十三五”时期，坚持以习近平新时代中国特色社会主义思想为指导，在省委坚强领导下，全县上下深入贯彻落实习近平总书记关于海南工作的系列重要讲话和重要指示批示精神、《中共中央、国务院关于支持海南全面深化改革开放的指导意见》和《海南自由贸易港建设总体方案》，坚持稳中求进工作总基调，牢牢把握发展主动权，“十三五”规划主要目标和任务基本完成，经济社会发展取得显著成绩，与全国全省同步迈入全面小康社会，在海南自由贸易港建设中扛起定安担当，为全面融入“海澄文定”综合经济圈奠定坚实基础。</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经济高质量发展迈出坚实步伐。</w:t>
      </w:r>
      <w:r>
        <w:rPr>
          <w:rFonts w:hint="eastAsia" w:ascii="仿宋_GB2312" w:hAnsi="宋体" w:eastAsia="仿宋_GB2312" w:cs="宋体"/>
          <w:sz w:val="32"/>
          <w:szCs w:val="32"/>
        </w:rPr>
        <w:t>地区生产总值、地方一般公共预算收入、社会消费品零售总额等主要经济指标稳定增长。产业结构进一步优化,三次产业比重为36：16.7：47.3，地区生产总值连续两年突破100亿元大关。投资结构不断优化，非房地产投资占比超过50%。经济活力不断增强，市场主体达到2.8万户。城镇化率46.48%，比2015年高4.47个百分点。</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各项改革持续深化。</w:t>
      </w:r>
      <w:r>
        <w:rPr>
          <w:rFonts w:hint="eastAsia" w:ascii="仿宋_GB2312" w:hAnsi="宋体" w:eastAsia="仿宋_GB2312" w:cs="宋体"/>
          <w:sz w:val="32"/>
          <w:szCs w:val="32"/>
        </w:rPr>
        <w:t>“多规合一”顺利实施，完成县级党政机构改革，“放管服”改革持续深化，出台《定安县优化营商环境三十条》等规定，开展“岗位大练兵”活动，推行首问负责制等四项基本办事制度，营商环境不断优化，在2019年度海南省民营经济发展软环境评价中位列第二名。深入推进相对集中行政许可权改革和综合行政执法体制改革，</w:t>
      </w:r>
      <w:r>
        <w:rPr>
          <w:rFonts w:eastAsia="仿宋_GB2312"/>
          <w:sz w:val="32"/>
          <w:szCs w:val="32"/>
        </w:rPr>
        <w:t>实现“一枚印章管审批”和“一支队伍管执法”。财政管理体制逐步完善，教育、文化、卫生、</w:t>
      </w:r>
      <w:r>
        <w:rPr>
          <w:rFonts w:hint="eastAsia" w:eastAsia="仿宋_GB2312"/>
          <w:sz w:val="32"/>
          <w:szCs w:val="32"/>
        </w:rPr>
        <w:t>农业农村、</w:t>
      </w:r>
      <w:r>
        <w:rPr>
          <w:rFonts w:eastAsia="仿宋_GB2312"/>
          <w:sz w:val="32"/>
          <w:szCs w:val="32"/>
        </w:rPr>
        <w:t>供销社、国有林场等领域改革均取得较好成效。</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“五网”基础设施建设扎实推进。</w:t>
      </w:r>
      <w:r>
        <w:rPr>
          <w:rFonts w:hint="eastAsia" w:ascii="仿宋_GB2312" w:hAnsi="宋体" w:eastAsia="仿宋_GB2312" w:cs="宋体"/>
          <w:sz w:val="32"/>
          <w:szCs w:val="32"/>
        </w:rPr>
        <w:t>定海大桥和南丽湖环湖旅游公路建成通车，文临高速定安段加快建设，实现全县自然村通硬化路、所有建制村通客车。光纤宽带网络覆盖率、4G信号覆盖率均达100%。农村电网改造全面完成，自然村通电率100%。加大充电基础设施建设力度，2020年新增充电桩（枪）完成省定目标的202.5%。启动“气代柴薪”试点。农村自来水普及率达89%。</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脱贫攻坚成效显著。</w:t>
      </w:r>
      <w:r>
        <w:rPr>
          <w:rFonts w:hint="eastAsia" w:ascii="仿宋_GB2312" w:hAnsi="宋体" w:eastAsia="仿宋_GB2312" w:cs="宋体"/>
          <w:sz w:val="32"/>
          <w:szCs w:val="32"/>
        </w:rPr>
        <w:t>以非常之力、关键之举实现脱贫攻坚全面胜利，36个贫困村全部整村出列，全县建档立卡8745户36589人全部实现脱贫。创新消费扶贫模式，荣获2019海南消费扶贫年货大集市“最佳组织奖”，“一丰一创两带三争”电商模式获得2019年全国消费扶贫典型案例奖。</w:t>
      </w:r>
      <w:r>
        <w:rPr>
          <w:rFonts w:hint="eastAsia" w:eastAsia="仿宋_GB2312"/>
          <w:sz w:val="32"/>
          <w:szCs w:val="32"/>
        </w:rPr>
        <w:t>2018年、2020年分别荣获全省脱贫攻坚县镇大比武流动红旗，</w:t>
      </w:r>
      <w:r>
        <w:rPr>
          <w:rFonts w:eastAsia="仿宋_GB2312"/>
          <w:sz w:val="32"/>
          <w:szCs w:val="32"/>
        </w:rPr>
        <w:t>2018年</w:t>
      </w:r>
      <w:r>
        <w:rPr>
          <w:rFonts w:hint="eastAsia" w:eastAsia="仿宋_GB2312"/>
          <w:sz w:val="32"/>
          <w:szCs w:val="32"/>
        </w:rPr>
        <w:t>、</w:t>
      </w:r>
      <w:r>
        <w:rPr>
          <w:rFonts w:eastAsia="仿宋_GB2312"/>
          <w:sz w:val="32"/>
          <w:szCs w:val="32"/>
        </w:rPr>
        <w:t>2019年全省脱贫攻坚成效考核分别获</w:t>
      </w:r>
      <w:r>
        <w:rPr>
          <w:rFonts w:hint="eastAsia" w:eastAsia="仿宋_GB2312"/>
          <w:sz w:val="32"/>
          <w:szCs w:val="32"/>
        </w:rPr>
        <w:t>“</w:t>
      </w:r>
      <w:r>
        <w:rPr>
          <w:rFonts w:eastAsia="仿宋_GB2312"/>
          <w:sz w:val="32"/>
          <w:szCs w:val="32"/>
        </w:rPr>
        <w:t>较好</w:t>
      </w:r>
      <w:r>
        <w:rPr>
          <w:rFonts w:hint="eastAsia" w:eastAsia="仿宋_GB2312"/>
          <w:sz w:val="32"/>
          <w:szCs w:val="32"/>
        </w:rPr>
        <w:t>”</w:t>
      </w:r>
      <w:r>
        <w:rPr>
          <w:rFonts w:eastAsia="仿宋_GB2312"/>
          <w:sz w:val="32"/>
          <w:szCs w:val="32"/>
        </w:rPr>
        <w:t>和</w:t>
      </w:r>
      <w:r>
        <w:rPr>
          <w:rFonts w:hint="eastAsia" w:eastAsia="仿宋_GB2312"/>
          <w:sz w:val="32"/>
          <w:szCs w:val="32"/>
        </w:rPr>
        <w:t>“</w:t>
      </w:r>
      <w:r>
        <w:rPr>
          <w:rFonts w:eastAsia="仿宋_GB2312"/>
          <w:sz w:val="32"/>
          <w:szCs w:val="32"/>
        </w:rPr>
        <w:t>好</w:t>
      </w:r>
      <w:r>
        <w:rPr>
          <w:rFonts w:hint="eastAsia" w:eastAsia="仿宋_GB2312"/>
          <w:sz w:val="32"/>
          <w:szCs w:val="32"/>
        </w:rPr>
        <w:t>”的</w:t>
      </w:r>
      <w:r>
        <w:rPr>
          <w:rFonts w:eastAsia="仿宋_GB2312"/>
          <w:sz w:val="32"/>
          <w:szCs w:val="32"/>
        </w:rPr>
        <w:t>等次。</w:t>
      </w:r>
      <w:r>
        <w:rPr>
          <w:rFonts w:hint="eastAsia" w:ascii="仿宋_GB2312" w:hAnsi="宋体" w:eastAsia="仿宋_GB2312" w:cs="宋体"/>
          <w:sz w:val="32"/>
          <w:szCs w:val="32"/>
        </w:rPr>
        <w:t>脱贫攻坚取得的成果、积累的经验，为全面实施乡村振兴战略奠定坚实基础。</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公共服务能力不断提高。</w:t>
      </w:r>
      <w:r>
        <w:rPr>
          <w:rFonts w:hint="eastAsia" w:ascii="仿宋_GB2312" w:hAnsi="宋体" w:eastAsia="仿宋_GB2312" w:cs="宋体"/>
          <w:sz w:val="32"/>
          <w:szCs w:val="32"/>
        </w:rPr>
        <w:t>义务教育均衡发展顺利通过国家验收,调整优化中小学布局，与湖南师范大学开展合作办学，引进山高学校等优质教育资源。公办园就读幼儿比例50.45%，普惠性幼儿园覆盖率82.9%，均超过省定目标。高中学位继续增加。县人民医院与省人民医院组建紧密型医联体，县中医院综合门诊楼、县妇幼保健院综合门诊楼、县疾控中心全部建成并投入使用。获评2018年国家妇幼健康优秀示范县。社会保障水平不断提高，城乡居民最低生活保障制度和农村五保供养制度逐步完善。县社保卡中心获评人社部2017—2019年优质服务窗口。升级改造沿江公园，建成兴安公园和潭榄河带状公园。群众获得感、幸福感普遍增强。</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生态文明建设成效突出。</w:t>
      </w:r>
      <w:r>
        <w:rPr>
          <w:rFonts w:hint="eastAsia" w:ascii="仿宋_GB2312" w:hAnsi="宋体" w:eastAsia="仿宋_GB2312" w:cs="宋体"/>
          <w:sz w:val="32"/>
          <w:szCs w:val="32"/>
        </w:rPr>
        <w:t>构建高效统一的生态资源规划管理、保护监管体系。开展生态环境保护“四个专项”行动，全面落实“河长制”“湖长制”，深入开展“两违”整治。造林绿化43492亩，森林覆盖率达62.01%。</w:t>
      </w:r>
      <w:r>
        <w:rPr>
          <w:rFonts w:eastAsia="仿宋_GB2312"/>
          <w:sz w:val="32"/>
          <w:szCs w:val="32"/>
        </w:rPr>
        <w:t>碳汇能力大幅度增强，超额完成“十三五”碳排放下降任务目标。</w:t>
      </w:r>
      <w:r>
        <w:rPr>
          <w:rFonts w:hint="eastAsia" w:ascii="仿宋_GB2312" w:hAnsi="宋体" w:eastAsia="仿宋_GB2312" w:cs="宋体"/>
          <w:sz w:val="32"/>
          <w:szCs w:val="32"/>
        </w:rPr>
        <w:t>生态环境不断改善，荣获联合国环境规划基金会“杰出绿色生态城市”奖。41个乡村获评省级“星级”美丽乡村；高林村获评“全国乡村旅游重点村”，安仁村获评“全国乡村治理示范村”。南丽湖国家湿地公园通过验收，正式挂牌。</w:t>
      </w:r>
    </w:p>
    <w:p>
      <w:pPr>
        <w:pStyle w:val="13"/>
        <w:widowControl w:val="0"/>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党的建设全面加强。</w:t>
      </w:r>
      <w:r>
        <w:rPr>
          <w:rFonts w:hint="eastAsia" w:ascii="仿宋_GB2312" w:hAnsi="宋体" w:eastAsia="仿宋_GB2312" w:cs="宋体"/>
          <w:sz w:val="32"/>
          <w:szCs w:val="32"/>
        </w:rPr>
        <w:t>落实五级书记抓党建要求，强化基层党组织建设，重拳整顿软弱涣散基层党组织。外引内调相结合，加强干部队伍建设，实现干部队伍老中青合理梯次配备。深化标本兼治推动党风廉政建设和反腐败斗争。树立一批看得见、够得着、学得会的典型人物和标杆团体，不断激发干部干事创业热情。乡村振兴、扫黑除恶、禁毒大会战、风险防控等工作取得阶段性成果。在抗疫斗争中，派出10名医护人员千里驰援湖北疫情防控；以超常规举措全力推动复工复产，2020年全省“扩种养促务工增收入”现场会在定安成功召开，坚决打赢疫情防控的人民战争、总体战、阻击战。</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宋体" w:eastAsia="仿宋_GB2312" w:cs="宋体"/>
          <w:sz w:val="32"/>
          <w:szCs w:val="32"/>
        </w:rPr>
        <w:t>“十三五”时期，全县围绕全面建成小康社会历史目标，抢抓中国特色自由贸易港建设千载难逢的历史机遇，主动担当作为、奋勇开拓创新，经济社会发展取得新成就。积极谋划“三区一轴多点”的城乡联动发展格局，定安正式纳入“海澄文定”综合经济圈，为“十四五”时期高质量发展奠定坚实的基础。</w:t>
      </w:r>
    </w:p>
    <w:p>
      <w:pPr>
        <w:pStyle w:val="6"/>
        <w:spacing w:before="0" w:after="0" w:line="240" w:lineRule="auto"/>
        <w:ind w:left="0" w:leftChars="0" w:firstLine="0" w:firstLineChars="0"/>
        <w:jc w:val="center"/>
        <w:rPr>
          <w:rFonts w:hint="eastAsia" w:ascii="仿宋_GB2312" w:hAnsi="仿宋" w:eastAsia="仿宋_GB2312" w:cs="仿宋"/>
          <w:sz w:val="32"/>
          <w:szCs w:val="32"/>
        </w:rPr>
      </w:pPr>
      <w:r>
        <w:rPr>
          <w:rFonts w:hint="eastAsia" w:ascii="仿宋_GB2312" w:hAnsi="仿宋" w:eastAsia="仿宋_GB2312" w:cs="仿宋"/>
          <w:sz w:val="32"/>
          <w:szCs w:val="32"/>
        </w:rPr>
        <w:t>表1-1 “十三五”规划主要指标完成情况</w:t>
      </w:r>
    </w:p>
    <w:tbl>
      <w:tblPr>
        <w:tblStyle w:val="8"/>
        <w:tblpPr w:leftFromText="180" w:rightFromText="180" w:vertAnchor="text" w:horzAnchor="page" w:tblpXSpec="center" w:tblpY="215"/>
        <w:tblOverlap w:val="never"/>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287"/>
        <w:gridCol w:w="709"/>
        <w:gridCol w:w="946"/>
        <w:gridCol w:w="1014"/>
        <w:gridCol w:w="855"/>
        <w:gridCol w:w="722"/>
        <w:gridCol w:w="1089"/>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17" w:type="dxa"/>
            <w:gridSpan w:val="2"/>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bookmarkStart w:id="23" w:name="_Toc13537"/>
            <w:bookmarkStart w:id="24" w:name="_Toc16921"/>
            <w:bookmarkStart w:id="25" w:name="_Toc12933"/>
            <w:bookmarkStart w:id="26" w:name="_Toc5560"/>
            <w:bookmarkStart w:id="27" w:name="_Toc15036"/>
            <w:bookmarkStart w:id="28" w:name="_Toc24048"/>
            <w:bookmarkStart w:id="29" w:name="_Toc4692"/>
            <w:bookmarkStart w:id="30" w:name="_Toc54189176"/>
            <w:bookmarkStart w:id="31" w:name="_Toc10653"/>
            <w:r>
              <w:rPr>
                <w:rFonts w:ascii="仿宋GB_2312" w:hAnsi="仿宋GB_2312" w:eastAsia="仿宋GB_2312" w:cs="仿宋GB_2312"/>
                <w:b/>
                <w:kern w:val="0"/>
                <w:sz w:val="21"/>
                <w:szCs w:val="21"/>
                <w:lang w:bidi="ar"/>
              </w:rPr>
              <w:t>指 标</w:t>
            </w:r>
          </w:p>
        </w:tc>
        <w:tc>
          <w:tcPr>
            <w:tcW w:w="709" w:type="dxa"/>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单位</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“十二五”完成</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“十三五”目标</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“十三五”完成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17" w:type="dxa"/>
            <w:gridSpan w:val="2"/>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b/>
                <w:sz w:val="21"/>
                <w:szCs w:val="21"/>
              </w:rPr>
            </w:pPr>
          </w:p>
        </w:tc>
        <w:tc>
          <w:tcPr>
            <w:tcW w:w="709"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b/>
                <w:sz w:val="21"/>
                <w:szCs w:val="21"/>
              </w:rPr>
            </w:pP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2015年</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年均增长（%）</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2020年</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年均增长（%）</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2020年</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b/>
                <w:sz w:val="21"/>
                <w:szCs w:val="21"/>
              </w:rPr>
            </w:pPr>
            <w:r>
              <w:rPr>
                <w:rFonts w:ascii="仿宋GB_2312" w:hAnsi="仿宋GB_2312" w:eastAsia="仿宋GB_2312" w:cs="仿宋GB_2312"/>
                <w:b/>
                <w:kern w:val="0"/>
                <w:sz w:val="21"/>
                <w:szCs w:val="21"/>
                <w:lang w:bidi="ar"/>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经济发展</w:t>
            </w: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全县生产总值</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75.1</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107.89</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7.5</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hint="eastAsia" w:ascii="仿宋GB_2312" w:hAnsi="仿宋GB_2312" w:eastAsia="仿宋GB_2312" w:cs="仿宋GB_2312"/>
                <w:kern w:val="0"/>
                <w:sz w:val="21"/>
                <w:szCs w:val="21"/>
                <w:lang w:bidi="ar"/>
              </w:rPr>
              <w:t>105.88</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第一产业</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28.65</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6.7</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34.52</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3.6</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hint="eastAsia" w:ascii="仿宋GB_2312" w:hAnsi="仿宋GB_2312" w:eastAsia="仿宋GB_2312" w:cs="仿宋GB_2312"/>
                <w:kern w:val="0"/>
                <w:sz w:val="21"/>
                <w:szCs w:val="21"/>
                <w:lang w:bidi="ar"/>
              </w:rPr>
              <w:t>38.1</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第二产业</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11.33</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13</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21.58</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13.8</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hint="eastAsia" w:ascii="仿宋GB_2312" w:hAnsi="仿宋GB_2312" w:eastAsia="仿宋GB_2312" w:cs="仿宋GB_2312"/>
                <w:kern w:val="0"/>
                <w:sz w:val="21"/>
                <w:szCs w:val="21"/>
                <w:lang w:bidi="ar"/>
              </w:rPr>
              <w:t>17.65</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其中：工业</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4.05</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11.2</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6.9</w:t>
            </w:r>
            <w:r>
              <w:rPr>
                <w:rFonts w:hint="eastAsia" w:ascii="仿宋GB_2312" w:hAnsi="仿宋GB_2312" w:eastAsia="仿宋GB_2312" w:cs="仿宋GB_2312"/>
                <w:kern w:val="0"/>
                <w:sz w:val="21"/>
                <w:szCs w:val="21"/>
                <w:lang w:bidi="ar"/>
              </w:rPr>
              <w:t>2</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11.3</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hint="eastAsia" w:ascii="仿宋GB_2312" w:hAnsi="仿宋GB_2312" w:eastAsia="仿宋GB_2312" w:cs="仿宋GB_2312"/>
                <w:kern w:val="0"/>
                <w:sz w:val="21"/>
                <w:szCs w:val="21"/>
                <w:lang w:bidi="ar"/>
              </w:rPr>
              <w:t>6.55</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w:t>
            </w:r>
            <w:r>
              <w:rPr>
                <w:rFonts w:hint="eastAsia" w:ascii="仿宋GB_2312" w:hAnsi="仿宋GB_2312" w:eastAsia="仿宋GB_2312" w:cs="仿宋GB_2312"/>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 xml:space="preserve">    </w:t>
            </w:r>
            <w:r>
              <w:rPr>
                <w:rFonts w:ascii="仿宋GB_2312" w:hAnsi="仿宋GB_2312" w:eastAsia="仿宋GB_2312" w:cs="仿宋GB_2312"/>
                <w:kern w:val="0"/>
                <w:sz w:val="21"/>
                <w:szCs w:val="21"/>
                <w:lang w:bidi="ar"/>
              </w:rPr>
              <w:t>建筑业</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7.29</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14.5</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14.66</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15</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hint="eastAsia" w:ascii="仿宋GB_2312" w:hAnsi="仿宋GB_2312" w:eastAsia="仿宋GB_2312" w:cs="仿宋GB_2312"/>
                <w:kern w:val="0"/>
                <w:sz w:val="21"/>
                <w:szCs w:val="21"/>
                <w:lang w:bidi="ar"/>
              </w:rPr>
              <w:t>11.11</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第三产业</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35.12</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9.8</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51.79</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8.2</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ascii="仿宋GB_2312" w:hAnsi="仿宋GB_2312" w:eastAsia="仿宋GB_2312" w:cs="仿宋GB_2312"/>
                <w:kern w:val="0"/>
                <w:sz w:val="21"/>
                <w:szCs w:val="21"/>
                <w:lang w:bidi="ar"/>
              </w:rPr>
              <w:t>50.</w:t>
            </w:r>
            <w:r>
              <w:rPr>
                <w:rFonts w:hint="eastAsia" w:ascii="仿宋GB_2312" w:hAnsi="仿宋GB_2312" w:eastAsia="仿宋GB_2312" w:cs="仿宋GB_2312"/>
                <w:kern w:val="0"/>
                <w:sz w:val="21"/>
                <w:szCs w:val="21"/>
                <w:lang w:bidi="ar"/>
              </w:rPr>
              <w:t>12</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w:t>
            </w:r>
            <w:r>
              <w:rPr>
                <w:rFonts w:hint="eastAsia" w:ascii="仿宋GB_2312" w:hAnsi="仿宋GB_2312" w:eastAsia="仿宋GB_2312" w:cs="仿宋GB_2312"/>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地方一般公共预算收入</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3.72</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4.4</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5.47</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kern w:val="0"/>
                <w:sz w:val="21"/>
                <w:szCs w:val="21"/>
                <w:lang w:bidi="ar"/>
              </w:rPr>
            </w:pPr>
            <w:r>
              <w:rPr>
                <w:rFonts w:ascii="仿宋GB_2312" w:hAnsi="仿宋GB_2312" w:eastAsia="仿宋GB_2312" w:cs="仿宋GB_2312"/>
                <w:kern w:val="0"/>
                <w:sz w:val="21"/>
                <w:szCs w:val="21"/>
                <w:lang w:bidi="ar"/>
              </w:rPr>
              <w:t>5.1</w:t>
            </w:r>
            <w:r>
              <w:rPr>
                <w:rFonts w:hint="eastAsia" w:ascii="仿宋GB_2312" w:hAnsi="仿宋GB_2312" w:eastAsia="仿宋GB_2312" w:cs="仿宋GB_2312"/>
                <w:kern w:val="0"/>
                <w:sz w:val="21"/>
                <w:szCs w:val="21"/>
                <w:lang w:bidi="ar"/>
              </w:rPr>
              <w:t>2</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结构调整</w:t>
            </w: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三次产业比重</w:t>
            </w:r>
          </w:p>
        </w:tc>
        <w:tc>
          <w:tcPr>
            <w:tcW w:w="709" w:type="dxa"/>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37.7:15.4:46.9</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32:20:48</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36:16.7:47.3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全社会固定资产投资</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33.57</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8.9</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54.06</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10</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35.43</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社会消费品零售总额</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21.49</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16.7</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33.07</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28.</w:t>
            </w:r>
            <w:r>
              <w:rPr>
                <w:rFonts w:hint="eastAsia" w:ascii="仿宋GB_2312" w:hAnsi="仿宋GB_2312" w:eastAsia="仿宋GB_2312" w:cs="仿宋GB_2312"/>
                <w:kern w:val="0"/>
                <w:sz w:val="21"/>
                <w:szCs w:val="21"/>
                <w:lang w:bidi="ar"/>
              </w:rPr>
              <w:t>28</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接待旅游人数</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万人次</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227.14</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17.1</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500</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17.1</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101.91</w:t>
            </w:r>
            <w:r>
              <w:rPr>
                <w:rFonts w:ascii="仿宋GB_2312" w:hAnsi="仿宋GB_2312" w:eastAsia="仿宋GB_2312" w:cs="仿宋GB_2312"/>
                <w:kern w:val="0"/>
                <w:sz w:val="21"/>
                <w:szCs w:val="21"/>
                <w:lang w:bidi="ar"/>
              </w:rPr>
              <w:t xml:space="preserve"> </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旅游收入</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亿元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2.98</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13.4</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18.6</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5.81</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城镇化率</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42.01</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55.8</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46.</w:t>
            </w:r>
            <w:r>
              <w:rPr>
                <w:rFonts w:hint="eastAsia" w:ascii="仿宋GB_2312" w:hAnsi="仿宋GB_2312" w:eastAsia="仿宋GB_2312" w:cs="仿宋GB_2312"/>
                <w:kern w:val="0"/>
                <w:sz w:val="21"/>
                <w:szCs w:val="21"/>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830" w:type="dxa"/>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生态环保</w:t>
            </w:r>
          </w:p>
        </w:tc>
        <w:tc>
          <w:tcPr>
            <w:tcW w:w="5533" w:type="dxa"/>
            <w:gridSpan w:val="6"/>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万元GDP能耗（吨标煤）、 COD排放总量（万吨）、二氧化硫排放量（万吨）、单位GDP二氧化碳排放量（万吨）、氮氧化物排放量（万吨）、氨氮排放量（万吨）。以省公布数和下达指标为准。</w:t>
            </w:r>
          </w:p>
        </w:tc>
        <w:tc>
          <w:tcPr>
            <w:tcW w:w="1960" w:type="dxa"/>
            <w:gridSpan w:val="2"/>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万元GDP能耗（吨标煤）未完成下达指标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5533" w:type="dxa"/>
            <w:gridSpan w:val="6"/>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960" w:type="dxa"/>
            <w:gridSpan w:val="2"/>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5533" w:type="dxa"/>
            <w:gridSpan w:val="6"/>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960" w:type="dxa"/>
            <w:gridSpan w:val="2"/>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森林覆盖率</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59.17</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60</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hint="eastAsia" w:ascii="仿宋GB_2312" w:hAnsi="仿宋GB_2312" w:eastAsia="仿宋GB_2312" w:cs="仿宋GB_2312"/>
                <w:kern w:val="0"/>
                <w:sz w:val="21"/>
                <w:szCs w:val="21"/>
                <w:lang w:bidi="ar"/>
              </w:rPr>
              <w:t>62.01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restart"/>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社会民生</w:t>
            </w: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全县全体居民人均可支配收入</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15682</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14.1</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23580</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8.5</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23</w:t>
            </w:r>
            <w:r>
              <w:rPr>
                <w:rFonts w:hint="eastAsia" w:ascii="仿宋GB_2312" w:hAnsi="仿宋GB_2312" w:eastAsia="仿宋GB_2312" w:cs="仿宋GB_2312"/>
                <w:kern w:val="0"/>
                <w:sz w:val="21"/>
                <w:szCs w:val="21"/>
                <w:lang w:bidi="ar"/>
              </w:rPr>
              <w:t>516</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w:t>
            </w:r>
            <w:r>
              <w:rPr>
                <w:rFonts w:hint="eastAsia" w:ascii="仿宋GB_2312" w:hAnsi="仿宋GB_2312" w:eastAsia="仿宋GB_2312" w:cs="仿宋GB_2312"/>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其中：城镇常住居民人均可支配收入</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24027</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12</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35304</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33</w:t>
            </w:r>
            <w:r>
              <w:rPr>
                <w:rFonts w:hint="eastAsia" w:ascii="仿宋GB_2312" w:hAnsi="仿宋GB_2312" w:eastAsia="仿宋GB_2312" w:cs="仿宋GB_2312"/>
                <w:kern w:val="0"/>
                <w:sz w:val="21"/>
                <w:szCs w:val="21"/>
                <w:lang w:bidi="ar"/>
              </w:rPr>
              <w:t>878</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w:t>
            </w:r>
            <w:r>
              <w:rPr>
                <w:rFonts w:hint="eastAsia" w:ascii="仿宋GB_2312" w:hAnsi="仿宋GB_2312" w:eastAsia="仿宋GB_2312" w:cs="仿宋GB_2312"/>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农村常住居民人可支配收入</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元</w:t>
            </w:r>
          </w:p>
        </w:tc>
        <w:tc>
          <w:tcPr>
            <w:tcW w:w="946"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10301</w:t>
            </w:r>
          </w:p>
        </w:tc>
        <w:tc>
          <w:tcPr>
            <w:tcW w:w="1014"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16.1</w:t>
            </w:r>
          </w:p>
        </w:tc>
        <w:tc>
          <w:tcPr>
            <w:tcW w:w="855"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15849</w:t>
            </w:r>
          </w:p>
        </w:tc>
        <w:tc>
          <w:tcPr>
            <w:tcW w:w="722"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w:t>
            </w:r>
          </w:p>
        </w:tc>
        <w:tc>
          <w:tcPr>
            <w:tcW w:w="108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15</w:t>
            </w:r>
            <w:r>
              <w:rPr>
                <w:rFonts w:hint="eastAsia" w:ascii="仿宋GB_2312" w:hAnsi="仿宋GB_2312" w:eastAsia="仿宋GB_2312" w:cs="仿宋GB_2312"/>
                <w:kern w:val="0"/>
                <w:sz w:val="21"/>
                <w:szCs w:val="21"/>
                <w:lang w:bidi="ar"/>
              </w:rPr>
              <w:t>734</w:t>
            </w:r>
          </w:p>
        </w:tc>
        <w:tc>
          <w:tcPr>
            <w:tcW w:w="871"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8.</w:t>
            </w:r>
            <w:r>
              <w:rPr>
                <w:rFonts w:hint="eastAsia" w:ascii="仿宋GB_2312" w:hAnsi="仿宋GB_2312" w:eastAsia="仿宋GB_2312" w:cs="仿宋GB_2312"/>
                <w:kern w:val="0"/>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城镇登记失业率</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1.09</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＜4</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义务教育阶段巩固率</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93</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95</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Merge w:val="continue"/>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仿宋GB_2312" w:hAnsi="仿宋GB_2312" w:eastAsia="仿宋GB_2312" w:cs="仿宋GB_2312"/>
                <w:sz w:val="21"/>
                <w:szCs w:val="21"/>
              </w:rPr>
            </w:pPr>
          </w:p>
        </w:tc>
        <w:tc>
          <w:tcPr>
            <w:tcW w:w="1287"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人均预期寿命（岁）</w:t>
            </w:r>
          </w:p>
        </w:tc>
        <w:tc>
          <w:tcPr>
            <w:tcW w:w="709" w:type="dxa"/>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人</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77.6</w:t>
            </w:r>
          </w:p>
        </w:tc>
        <w:tc>
          <w:tcPr>
            <w:tcW w:w="1577"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79</w:t>
            </w:r>
          </w:p>
        </w:tc>
        <w:tc>
          <w:tcPr>
            <w:tcW w:w="1960" w:type="dxa"/>
            <w:gridSpan w:val="2"/>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仿宋GB_2312" w:hAnsi="仿宋GB_2312" w:eastAsia="仿宋GB_2312" w:cs="仿宋GB_2312"/>
                <w:sz w:val="21"/>
                <w:szCs w:val="21"/>
              </w:rPr>
            </w:pPr>
            <w:r>
              <w:rPr>
                <w:rFonts w:ascii="仿宋GB_2312" w:hAnsi="仿宋GB_2312" w:eastAsia="仿宋GB_2312" w:cs="仿宋GB_2312"/>
                <w:kern w:val="0"/>
                <w:sz w:val="21"/>
                <w:szCs w:val="21"/>
                <w:lang w:bidi="ar"/>
              </w:rPr>
              <w:t>78.5</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1"/>
        <w:rPr>
          <w:rFonts w:hint="eastAsia" w:ascii="楷体_GB2312" w:hAnsi="仿宋" w:eastAsia="楷体_GB2312" w:cs="仿宋"/>
          <w:bCs/>
          <w:sz w:val="32"/>
          <w:szCs w:val="32"/>
        </w:rPr>
      </w:pPr>
      <w:r>
        <w:rPr>
          <w:rFonts w:hint="eastAsia" w:ascii="楷体_GB2312" w:hAnsi="楷体" w:eastAsia="楷体_GB2312" w:cs="楷体"/>
          <w:bCs/>
          <w:sz w:val="32"/>
          <w:szCs w:val="32"/>
        </w:rPr>
        <w:t>第二节  “十四五”时期面临的形势</w:t>
      </w:r>
      <w:bookmarkEnd w:id="23"/>
      <w:bookmarkEnd w:id="24"/>
      <w:bookmarkEnd w:id="25"/>
      <w:bookmarkEnd w:id="26"/>
      <w:bookmarkEnd w:id="27"/>
      <w:bookmarkEnd w:id="28"/>
      <w:bookmarkEnd w:id="29"/>
      <w:bookmarkEnd w:id="30"/>
      <w:bookmarkEnd w:id="31"/>
    </w:p>
    <w:p>
      <w:pPr>
        <w:pStyle w:val="13"/>
        <w:spacing w:line="560" w:lineRule="exact"/>
        <w:ind w:firstLine="642" w:firstLineChars="200"/>
        <w:outlineLvl w:val="2"/>
        <w:rPr>
          <w:rFonts w:hint="eastAsia" w:ascii="仿宋_GB2312" w:hAnsi="宋体" w:eastAsia="仿宋_GB2312" w:cs="宋体"/>
          <w:b/>
          <w:sz w:val="32"/>
          <w:szCs w:val="32"/>
        </w:rPr>
      </w:pPr>
      <w:r>
        <w:rPr>
          <w:rFonts w:hint="eastAsia" w:ascii="仿宋_GB2312" w:hAnsi="宋体" w:eastAsia="仿宋_GB2312" w:cs="宋体"/>
          <w:b/>
          <w:sz w:val="32"/>
          <w:szCs w:val="32"/>
        </w:rPr>
        <w:t>1.外部机遇和挑战</w:t>
      </w:r>
    </w:p>
    <w:p>
      <w:pPr>
        <w:pStyle w:val="13"/>
        <w:widowControl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从国际看，一方面世界正处在“百年未有之大变局”中，国际形势孤立主义、去全球化思潮涌起，单边主义、贸易保护主义盛行，全球市场萎缩、新冠疫情常态化对全球经济合作和持续增长造成负面影响，公共卫生危机、经济危机、治理危机交织跌宕，国际环境不稳定性不确定性日趋增强。另一方面全球经济贸易格局加速重构，新一轮科技革命和产业变革蓄势待发，以5G、人工智能、大数据、物联网等为代表的新一代信息技术正引领人类社会加速迈入数字经济时代，推动生产生活方式发生颠覆性变革。</w:t>
      </w:r>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从国内看，一方面，我国正迎来“两个一百年”奋斗目标的历史交汇期，社会主义现代化强国建设新征程开启，产业整体向价值链中高端攀升，消费规模增长和结构优化并行，新型城镇化与乡村振兴协调推进，要素流动更加自由便利，绿色发展成为时代主流，面对复杂形势加快构建以国内大循环为主体、国内国际双循环相互促进的新发展格局。另一方面，疫情防控常态化给经济社会正常运转带来诸多挑战，经济社会发展中不平衡、不协调、不可持续等问题依然突出，应牢牢把握稳中求进工作总基调，扎实做好“六稳”工作、全面落实“六保”任务，强化底线思维，做好较长时间应对风险挑战的思想准备和工作准备。</w:t>
      </w:r>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从海南省看，海南是我国最大的经济特区和全球唯一的中国特色自由贸易港，具有实施全面深化改革和试验最高水平开放政策的独特优势，到2025年将初步建立以贸易自由便利和投资自由便利为重点的自由贸易港政策制度体系，在“对标世界最高水平的开放形态”要求指引下，海南迎来前所未有的历史性发展机遇。在“全省一盘棋，全岛同城化”理念指导下，全省上下大力推动区域协调、城乡融合发展，形成南北两极带动、东西两翼加快发展、中部山区生态保育的发展格局。另一方面，海南仍属欠发达地区，经济体量相当于内地中等城市，一产比重过高、二产比重过低、三产以旅游消费等传统服务业为主，研发能力落后，经济发展面临产业结构、投资结构、消费结构、空间要素配置等“四大失衡”，社会发展存在优质公共服务紧缺、城镇化率较低、城镇化质量不高、基础设施不完善、生态环境遗留问题等短板。</w:t>
      </w:r>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从定安县看，定安县具有区位优越、交通便利、资源丰富等优势，并已纳入“海澄文定”综合经济圈，将获得更有利的发展环境和更多潜在的发展机遇，但县域经济体量小、产业结构单一、发展不充分。结合上述形势，“十四五”时期定安县发展环境将处于历史性窗口期和战略性机遇期。全县上下要牢牢把握历史机遇，发扬特区精神、椰树精神和母瑞山革命精神，解放思想，敢闯敢试，大胆创新，以“争一流、创一流”的精气神，珍惜机遇、抢抓机遇、用好机遇，乘势而上、追赶跨越，全面完成“十四五”时期的宏伟目标。</w:t>
      </w:r>
    </w:p>
    <w:p>
      <w:pPr>
        <w:pStyle w:val="13"/>
        <w:spacing w:line="560" w:lineRule="exact"/>
        <w:ind w:firstLine="642" w:firstLineChars="200"/>
        <w:outlineLvl w:val="2"/>
        <w:rPr>
          <w:rFonts w:hint="eastAsia" w:ascii="仿宋_GB2312" w:hAnsi="宋体" w:eastAsia="仿宋_GB2312" w:cs="宋体"/>
          <w:b/>
          <w:sz w:val="32"/>
          <w:szCs w:val="32"/>
        </w:rPr>
      </w:pPr>
      <w:r>
        <w:rPr>
          <w:rFonts w:hint="eastAsia" w:ascii="仿宋_GB2312" w:hAnsi="宋体" w:eastAsia="仿宋_GB2312" w:cs="宋体"/>
          <w:b/>
          <w:sz w:val="32"/>
          <w:szCs w:val="32"/>
        </w:rPr>
        <w:t>2.内部短板和不足</w:t>
      </w:r>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经济总体规模小，产业结构不尽合理。2020年人均地区生产总值34886元，仅占全省的62%左右，远低于海澄文三市县。第二、第三产业发展基础相对薄弱，高新技术企业数量和规模偏小，受经济下行压力及新冠疫情等影响，固定资产投资等部分经济指标增速回落。</w:t>
      </w:r>
    </w:p>
    <w:p>
      <w:pPr>
        <w:pStyle w:val="13"/>
        <w:widowControl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核心资源优势尚未转化为产业优势。“一城两山一湖”为代表的县域核心资源目前的开发建设水平还比较低，历史文化名城影响力和号召力不强，没有发挥出对县域经济社会发展的应有贡献。</w:t>
      </w:r>
    </w:p>
    <w:p>
      <w:pPr>
        <w:pStyle w:val="13"/>
        <w:widowControl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基础设施和民生还存在短板。“五网”基础设施建设和教育、医疗、就业、社保、住房等公共服务保障方面相对滞后，与满足人民群众对美好生活的向往还存在差距。</w:t>
      </w:r>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主城镇辐射带动能力不强。定安县城位处县域最北端，依托现有交通，难以有效地辐射服务南部和东部区域。</w:t>
      </w:r>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体制机制创新不够。营商环境亟需优化，投资质量以及投资对拉动经济的增长后劲不足，支撑发展的人才缺乏，人才培养吸引机制亟需完善。</w:t>
      </w:r>
    </w:p>
    <w:p>
      <w:pPr>
        <w:pStyle w:val="12"/>
        <w:keepNext w:val="0"/>
        <w:keepLines w:val="0"/>
        <w:pageBreakBefore w:val="0"/>
        <w:widowControl w:val="0"/>
        <w:kinsoku/>
        <w:wordWrap/>
        <w:overflowPunct/>
        <w:topLinePunct w:val="0"/>
        <w:bidi w:val="0"/>
        <w:snapToGrid/>
        <w:spacing w:before="241" w:beforeLines="50" w:after="241" w:afterLines="50" w:line="560" w:lineRule="exact"/>
        <w:ind w:left="0" w:leftChars="0" w:right="0" w:rightChars="0" w:firstLine="0" w:firstLineChars="0"/>
        <w:jc w:val="center"/>
        <w:textAlignment w:val="auto"/>
        <w:outlineLvl w:val="0"/>
        <w:rPr>
          <w:rFonts w:hint="eastAsia" w:ascii="黑体" w:hAnsi="黑体" w:eastAsia="黑体"/>
          <w:bCs/>
          <w:color w:val="auto"/>
          <w:sz w:val="32"/>
          <w:szCs w:val="32"/>
        </w:rPr>
      </w:pPr>
      <w:bookmarkStart w:id="32" w:name="_Toc6312"/>
      <w:bookmarkStart w:id="33" w:name="_Toc9551"/>
      <w:bookmarkStart w:id="34" w:name="_Toc24526"/>
      <w:bookmarkStart w:id="35" w:name="_Toc27074"/>
      <w:bookmarkStart w:id="36" w:name="_Toc2486"/>
      <w:bookmarkStart w:id="37" w:name="_Toc9539"/>
      <w:bookmarkStart w:id="38" w:name="_Toc6158"/>
      <w:bookmarkStart w:id="39" w:name="_Toc54189158"/>
      <w:bookmarkStart w:id="40" w:name="_Toc2838"/>
      <w:bookmarkStart w:id="41" w:name="_Toc8880"/>
      <w:bookmarkStart w:id="42" w:name="_Toc54189177"/>
      <w:bookmarkStart w:id="43" w:name="_Toc6822"/>
      <w:bookmarkStart w:id="44" w:name="_Toc11719"/>
      <w:r>
        <w:rPr>
          <w:rFonts w:hint="eastAsia" w:ascii="黑体" w:hAnsi="黑体" w:eastAsia="黑体"/>
          <w:bCs/>
          <w:color w:val="auto"/>
          <w:sz w:val="32"/>
          <w:szCs w:val="32"/>
        </w:rPr>
        <w:t>第二章  总体要求</w:t>
      </w:r>
      <w:bookmarkEnd w:id="32"/>
      <w:bookmarkEnd w:id="33"/>
      <w:bookmarkEnd w:id="34"/>
      <w:bookmarkEnd w:id="35"/>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before="241" w:beforeLines="50" w:after="241" w:afterLines="50" w:line="560" w:lineRule="exact"/>
        <w:ind w:left="0" w:leftChars="0" w:right="0" w:rightChars="0" w:firstLine="0" w:firstLineChars="0"/>
        <w:jc w:val="center"/>
        <w:textAlignment w:val="auto"/>
        <w:outlineLvl w:val="1"/>
        <w:rPr>
          <w:rFonts w:hint="eastAsia" w:ascii="楷体_GB2312" w:hAnsi="楷体" w:eastAsia="楷体_GB2312" w:cs="楷体"/>
          <w:bCs/>
          <w:sz w:val="32"/>
          <w:szCs w:val="32"/>
        </w:rPr>
      </w:pPr>
      <w:bookmarkStart w:id="45" w:name="_Toc2413"/>
      <w:bookmarkStart w:id="46" w:name="_Toc10822"/>
      <w:bookmarkStart w:id="47" w:name="_Toc54189178"/>
      <w:bookmarkStart w:id="48" w:name="_Toc30990"/>
      <w:bookmarkStart w:id="49" w:name="_Toc17014"/>
      <w:bookmarkStart w:id="50" w:name="_Toc31083"/>
      <w:bookmarkStart w:id="51" w:name="_Toc27216"/>
      <w:bookmarkStart w:id="52" w:name="_Toc4768"/>
      <w:bookmarkStart w:id="53" w:name="_Toc22536"/>
      <w:r>
        <w:rPr>
          <w:rFonts w:hint="eastAsia" w:ascii="楷体_GB2312" w:hAnsi="楷体" w:eastAsia="楷体_GB2312" w:cs="楷体"/>
          <w:bCs/>
          <w:sz w:val="32"/>
          <w:szCs w:val="32"/>
        </w:rPr>
        <w:t>第一节  指导思想</w:t>
      </w:r>
      <w:bookmarkEnd w:id="45"/>
      <w:bookmarkEnd w:id="46"/>
      <w:bookmarkEnd w:id="47"/>
      <w:bookmarkEnd w:id="48"/>
      <w:bookmarkEnd w:id="49"/>
      <w:bookmarkEnd w:id="50"/>
      <w:bookmarkEnd w:id="51"/>
      <w:bookmarkEnd w:id="52"/>
      <w:bookmarkEnd w:id="53"/>
    </w:p>
    <w:p>
      <w:pPr>
        <w:pStyle w:val="13"/>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统筹推进“五位一体”总体布局，协同推进“四个全面”战略布局，立足新发展阶段,贯彻新发展理念,融入新发展格局，坚持稳中求进工作总基调，以高质量发展统揽全局。全面融入“海澄文定”综合经济圈，实施“北融东联、突出三区、做强中轴”发展战略，围绕“一城两山一湖”特色核心资源，构建定安“三区一轴多点”的城乡联动发展格局；坚持自然资源要素、人力资源要素、组织保障要素“三位一体”，突出“活力定安，静美家园”的城市形象，进一步盘活沉量、做强存量、精选增量，激发市场主体活力，构建产业鲜明、布局合理、特色突出的经济结构，打造海南都市农业发展区、海南历史文化旅游目的地、区域新兴产业协同集聚地；推进社会治理体系和治理能力现代化，实现经济行稳致远、社会安定和谐，在海南自由贸易港建设中，坚决扛起做大做强“海澄文定”综合经济圈的定安担当，奋力建设开放包容、宜居宜业、充满活力的美好新定安。</w:t>
      </w:r>
    </w:p>
    <w:p>
      <w:pPr>
        <w:keepNext w:val="0"/>
        <w:keepLines w:val="0"/>
        <w:pageBreakBefore w:val="0"/>
        <w:widowControl w:val="0"/>
        <w:kinsoku/>
        <w:wordWrap/>
        <w:overflowPunct/>
        <w:topLinePunct w:val="0"/>
        <w:autoSpaceDE/>
        <w:autoSpaceDN/>
        <w:bidi w:val="0"/>
        <w:adjustRightInd/>
        <w:snapToGrid/>
        <w:spacing w:before="241" w:beforeLines="50" w:after="241" w:afterLines="50" w:line="560" w:lineRule="exact"/>
        <w:ind w:left="0" w:leftChars="0" w:right="0" w:rightChars="0" w:firstLine="0" w:firstLineChars="0"/>
        <w:jc w:val="center"/>
        <w:textAlignment w:val="auto"/>
        <w:outlineLvl w:val="1"/>
        <w:rPr>
          <w:rFonts w:hint="eastAsia" w:ascii="楷体_GB2312" w:hAnsi="楷体" w:eastAsia="楷体_GB2312" w:cs="楷体"/>
          <w:bCs/>
          <w:sz w:val="32"/>
          <w:szCs w:val="32"/>
        </w:rPr>
      </w:pPr>
      <w:bookmarkStart w:id="54" w:name="_Toc31422"/>
      <w:bookmarkStart w:id="55" w:name="_Toc1523"/>
      <w:bookmarkStart w:id="56" w:name="_Toc32584"/>
      <w:bookmarkStart w:id="57" w:name="_Toc488"/>
      <w:bookmarkStart w:id="58" w:name="_Toc29405"/>
      <w:bookmarkStart w:id="59" w:name="_Toc31985"/>
      <w:bookmarkStart w:id="60" w:name="_Toc30652"/>
      <w:bookmarkStart w:id="61" w:name="_Toc3927"/>
      <w:bookmarkStart w:id="62" w:name="_Toc54189179"/>
      <w:r>
        <w:rPr>
          <w:rFonts w:hint="eastAsia" w:ascii="楷体_GB2312" w:hAnsi="楷体" w:eastAsia="楷体_GB2312" w:cs="楷体"/>
          <w:bCs/>
          <w:sz w:val="32"/>
          <w:szCs w:val="32"/>
        </w:rPr>
        <w:t>第二节  基本原则</w:t>
      </w:r>
      <w:bookmarkEnd w:id="54"/>
      <w:bookmarkEnd w:id="55"/>
      <w:bookmarkEnd w:id="56"/>
      <w:bookmarkEnd w:id="57"/>
      <w:bookmarkEnd w:id="58"/>
      <w:bookmarkEnd w:id="59"/>
      <w:bookmarkEnd w:id="60"/>
      <w:bookmarkEnd w:id="61"/>
      <w:bookmarkEnd w:id="62"/>
    </w:p>
    <w:p>
      <w:pPr>
        <w:pStyle w:val="13"/>
        <w:keepNext w:val="0"/>
        <w:keepLines w:val="0"/>
        <w:pageBreakBefore w:val="0"/>
        <w:kinsoku/>
        <w:wordWrap/>
        <w:overflowPunct/>
        <w:topLinePunct w:val="0"/>
        <w:autoSpaceDE/>
        <w:autoSpaceDN/>
        <w:bidi w:val="0"/>
        <w:adjustRightInd/>
        <w:snapToGrid/>
        <w:spacing w:after="241" w:afterLines="50" w:line="560" w:lineRule="exact"/>
        <w:ind w:left="0" w:leftChars="0" w:right="0" w:rightChars="0" w:firstLine="642" w:firstLineChars="200"/>
        <w:jc w:val="left"/>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——坚持党的全面领导。</w:t>
      </w:r>
      <w:r>
        <w:rPr>
          <w:rFonts w:hint="eastAsia" w:ascii="仿宋_GB2312" w:hAnsi="宋体" w:eastAsia="仿宋_GB2312" w:cs="宋体"/>
          <w:sz w:val="32"/>
          <w:szCs w:val="32"/>
        </w:rPr>
        <w:t>坚持党的集中统一领导，完善党领导经济社会发展的体制机制，充分发挥上下一盘棋和集中力量办大事的制度优势，紧紧围绕中央、省委重大决策部署，不断提高贯彻新发展理念、构建新发展格局能力和水平，为实现高质量发展提供根本保证。</w:t>
      </w:r>
    </w:p>
    <w:p>
      <w:pPr>
        <w:pStyle w:val="13"/>
        <w:spacing w:line="560" w:lineRule="exact"/>
        <w:ind w:firstLine="642" w:firstLineChars="200"/>
        <w:jc w:val="left"/>
        <w:rPr>
          <w:rFonts w:hint="eastAsia" w:ascii="仿宋_GB2312" w:hAnsi="宋体" w:eastAsia="仿宋_GB2312" w:cs="宋体"/>
          <w:sz w:val="32"/>
          <w:szCs w:val="32"/>
        </w:rPr>
      </w:pPr>
      <w:r>
        <w:rPr>
          <w:rFonts w:hint="eastAsia" w:ascii="仿宋_GB2312" w:hAnsi="宋体" w:eastAsia="仿宋_GB2312" w:cs="宋体"/>
          <w:b/>
          <w:bCs/>
          <w:sz w:val="32"/>
          <w:szCs w:val="32"/>
        </w:rPr>
        <w:t>——坚持以人民为中心。</w:t>
      </w:r>
      <w:r>
        <w:rPr>
          <w:rFonts w:hint="eastAsia" w:ascii="仿宋_GB2312" w:hAnsi="宋体" w:eastAsia="仿宋_GB2312" w:cs="宋体"/>
          <w:sz w:val="32"/>
          <w:szCs w:val="32"/>
        </w:rPr>
        <w:t>坚持人民主体地位，把实现好、维护好、发展好最广大人民根本利益作为出发点和落脚点，激发全体人民的积极性、主动性、创造性，促进公平正义，保持社会稳定，保障人民安居乐业，不断实现人民对美好生活的向往。</w:t>
      </w:r>
    </w:p>
    <w:p>
      <w:pPr>
        <w:pStyle w:val="13"/>
        <w:widowControl w:val="0"/>
        <w:spacing w:line="560" w:lineRule="exact"/>
        <w:ind w:firstLine="642" w:firstLineChars="200"/>
        <w:jc w:val="left"/>
        <w:rPr>
          <w:rFonts w:hint="eastAsia" w:ascii="仿宋_GB2312" w:hAnsi="宋体" w:eastAsia="仿宋_GB2312" w:cs="宋体"/>
          <w:sz w:val="32"/>
          <w:szCs w:val="32"/>
        </w:rPr>
      </w:pPr>
      <w:r>
        <w:rPr>
          <w:rFonts w:hint="eastAsia" w:ascii="仿宋_GB2312" w:hAnsi="宋体" w:eastAsia="仿宋_GB2312" w:cs="宋体"/>
          <w:b/>
          <w:bCs/>
          <w:sz w:val="32"/>
          <w:szCs w:val="32"/>
        </w:rPr>
        <w:t>——坚持新发展理念。</w:t>
      </w:r>
      <w:r>
        <w:rPr>
          <w:rFonts w:hint="eastAsia" w:ascii="仿宋_GB2312" w:hAnsi="宋体" w:eastAsia="仿宋_GB2312" w:cs="宋体"/>
          <w:sz w:val="32"/>
          <w:szCs w:val="32"/>
        </w:rPr>
        <w:t>把新发展理念贯穿全县经济社会发展全过程和各领域，坚持“沉量振兴”“存量变革”“增量崛起”并举，推动经济社会平衡发展，促进人与自然和谐发展，加强内外联动发展，努力提高公共服务共建能力和共享水平。</w:t>
      </w:r>
    </w:p>
    <w:p>
      <w:pPr>
        <w:pStyle w:val="13"/>
        <w:widowControl w:val="0"/>
        <w:spacing w:line="560" w:lineRule="exact"/>
        <w:ind w:firstLine="642" w:firstLineChars="200"/>
        <w:jc w:val="left"/>
        <w:rPr>
          <w:rFonts w:hint="eastAsia" w:ascii="仿宋_GB2312" w:hAnsi="宋体" w:eastAsia="仿宋_GB2312" w:cs="宋体"/>
          <w:sz w:val="32"/>
          <w:szCs w:val="32"/>
        </w:rPr>
      </w:pPr>
      <w:r>
        <w:rPr>
          <w:rFonts w:hint="eastAsia" w:ascii="仿宋_GB2312" w:hAnsi="宋体" w:eastAsia="仿宋_GB2312" w:cs="宋体"/>
          <w:b/>
          <w:bCs/>
          <w:sz w:val="32"/>
          <w:szCs w:val="32"/>
        </w:rPr>
        <w:t>——坚持改革创新。</w:t>
      </w:r>
      <w:r>
        <w:rPr>
          <w:rFonts w:hint="eastAsia" w:ascii="仿宋_GB2312" w:hAnsi="宋体" w:eastAsia="仿宋_GB2312" w:cs="宋体"/>
          <w:sz w:val="32"/>
          <w:szCs w:val="32"/>
        </w:rPr>
        <w:t>坚持与时俱进，加快制度集成创新、科技创新、文化创新。创建最优发展环境，强化有利于提高资源配置效率、有利于调动全社会积极性的改革创新举措，持续增强发展动力和活力。</w:t>
      </w:r>
    </w:p>
    <w:p>
      <w:pPr>
        <w:pStyle w:val="13"/>
        <w:spacing w:line="560" w:lineRule="exact"/>
        <w:ind w:firstLine="642" w:firstLineChars="200"/>
        <w:jc w:val="left"/>
        <w:rPr>
          <w:rFonts w:hint="eastAsia" w:ascii="仿宋_GB2312" w:hAnsi="宋体" w:eastAsia="仿宋_GB2312" w:cs="宋体"/>
          <w:sz w:val="32"/>
          <w:szCs w:val="32"/>
        </w:rPr>
      </w:pPr>
      <w:r>
        <w:rPr>
          <w:rFonts w:hint="eastAsia" w:ascii="仿宋_GB2312" w:hAnsi="宋体" w:eastAsia="仿宋_GB2312" w:cs="宋体"/>
          <w:b/>
          <w:bCs/>
          <w:sz w:val="32"/>
          <w:szCs w:val="32"/>
        </w:rPr>
        <w:t>——坚持系统观念。</w:t>
      </w:r>
      <w:r>
        <w:rPr>
          <w:rFonts w:hint="eastAsia" w:ascii="仿宋_GB2312" w:hAnsi="宋体" w:eastAsia="仿宋_GB2312" w:cs="宋体"/>
          <w:sz w:val="32"/>
          <w:szCs w:val="32"/>
        </w:rPr>
        <w:t>坚持“全省一盘棋、全岛同城化”理念，发挥定安区位优势，加强区域协作，参与建立区域协作常态机制，营造开放包容的合作环境，推进“海澄文定”综合经济圈基础设施一体化、产业协同发展，实现区域的互促共融。</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63" w:name="_Toc3024"/>
      <w:bookmarkStart w:id="64" w:name="_Toc28807"/>
      <w:bookmarkStart w:id="65" w:name="_Toc12831"/>
      <w:bookmarkStart w:id="66" w:name="_Toc7415"/>
      <w:bookmarkStart w:id="67" w:name="_Toc468"/>
      <w:bookmarkStart w:id="68" w:name="_Toc6288"/>
      <w:bookmarkStart w:id="69" w:name="_Toc14991"/>
      <w:bookmarkStart w:id="70" w:name="_Toc54189180"/>
      <w:bookmarkStart w:id="71" w:name="_Toc23598"/>
      <w:r>
        <w:rPr>
          <w:rFonts w:hint="eastAsia" w:ascii="楷体_GB2312" w:hAnsi="楷体" w:eastAsia="楷体_GB2312" w:cs="楷体"/>
          <w:bCs/>
          <w:sz w:val="32"/>
          <w:szCs w:val="32"/>
        </w:rPr>
        <w:t>第三节  发展目标</w:t>
      </w:r>
      <w:bookmarkEnd w:id="63"/>
      <w:bookmarkEnd w:id="64"/>
      <w:bookmarkEnd w:id="65"/>
      <w:bookmarkEnd w:id="66"/>
      <w:bookmarkEnd w:id="67"/>
      <w:bookmarkEnd w:id="68"/>
      <w:bookmarkEnd w:id="69"/>
      <w:bookmarkEnd w:id="70"/>
      <w:bookmarkEnd w:id="71"/>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二○三五年远景目标。</w:t>
      </w:r>
      <w:r>
        <w:rPr>
          <w:rFonts w:hint="eastAsia" w:ascii="仿宋_GB2312" w:hAnsi="宋体" w:eastAsia="仿宋_GB2312" w:cs="宋体"/>
          <w:sz w:val="32"/>
          <w:szCs w:val="32"/>
        </w:rPr>
        <w:t>展望2035年，全县经济总量和城乡人均收入迈上新台阶，旅游业、现代服务业、高新技术产业、热带特色高效农业等产业实现较快发展，建成优势互补、相互协调的经济发展体系，经济发展速度和质量跻身全省前列；“三区一轴多点”功能定位全面落实，形成区域协调、联动发展格局；生态环境质量和资源利用率居于全省前列；基本实现农业农村现代化；社会事业全面进步，文化体育事业繁荣发展，公民素质和社会文明程度达到新高度；现代社会治理格局基本形成，社会充满活力又和谐有序，全体人民共同富裕迈出坚实步伐，人民生活更加美好。</w:t>
      </w:r>
    </w:p>
    <w:p>
      <w:pPr>
        <w:pStyle w:val="13"/>
        <w:widowControl w:val="0"/>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“十四五”目标。</w:t>
      </w:r>
      <w:r>
        <w:rPr>
          <w:rFonts w:hint="eastAsia" w:ascii="仿宋_GB2312" w:hAnsi="宋体" w:eastAsia="仿宋_GB2312" w:cs="宋体"/>
          <w:sz w:val="32"/>
          <w:szCs w:val="32"/>
        </w:rPr>
        <w:t>锚定二○三五年远景目标，综合考虑发展基础和发展趋势，坚持目标导向和问题导向相结合，到2025年：</w:t>
      </w:r>
    </w:p>
    <w:p>
      <w:pPr>
        <w:pStyle w:val="13"/>
        <w:widowControl w:val="0"/>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——全面融入“海澄文定”综合经济圈。</w:t>
      </w:r>
      <w:r>
        <w:rPr>
          <w:rFonts w:hint="eastAsia" w:ascii="仿宋_GB2312" w:hAnsi="宋体" w:eastAsia="仿宋_GB2312" w:cs="宋体"/>
          <w:sz w:val="32"/>
          <w:szCs w:val="32"/>
        </w:rPr>
        <w:t>立足资源、交通、区位等优势，加强发展要素与岛内外市场的深度融合，在全省产业链、供应链、价值链、创新链中的地位逐步提升，“海澄文定”综合经济圈向南辐射，建设岛内特色文化旅游、红色旅游、知名美丽乡村旅游目的地。</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——经济实现高质量发展。</w:t>
      </w:r>
      <w:r>
        <w:rPr>
          <w:rFonts w:hint="eastAsia" w:ascii="仿宋_GB2312" w:hAnsi="宋体" w:eastAsia="仿宋_GB2312" w:cs="宋体"/>
          <w:sz w:val="32"/>
          <w:szCs w:val="32"/>
        </w:rPr>
        <w:t>增长潜力得到充分释放，地区生产总值实现年均增长10%以上。经济结构更加优化，热带特色高效农业加速提升，工业发展迈入转型升级“快车道”，全域旅游基本成型，现代服务业发展壮大，服务业增加值占比55%以上。营商环境主要指标排名全省前列，市场主体大幅增长，产业竞争力显著提升。</w:t>
      </w:r>
    </w:p>
    <w:p>
      <w:pPr>
        <w:pStyle w:val="13"/>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——生态文明建设走在全省前列。</w:t>
      </w:r>
      <w:r>
        <w:rPr>
          <w:rFonts w:hint="eastAsia" w:ascii="仿宋_GB2312" w:hAnsi="宋体" w:eastAsia="仿宋_GB2312" w:cs="宋体"/>
          <w:sz w:val="32"/>
          <w:szCs w:val="32"/>
        </w:rPr>
        <w:t>国土空间开发保护格局得到优化，生态文明制度体系更加完善，生态环境基础设施建设全面加强。主要污染物排放总量大幅减少，基本实现垃圾、污水全处理，单位地区生产总值能耗、水耗持续下降，绿色低碳生产生活方式得到普及，城乡景观风貌更加秀美，生态环境质量和资源利用率位居全省领先水平。</w:t>
      </w:r>
    </w:p>
    <w:p>
      <w:pPr>
        <w:pStyle w:val="13"/>
        <w:widowControl w:val="0"/>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——人民生活水平显著提高。</w:t>
      </w:r>
      <w:r>
        <w:rPr>
          <w:rFonts w:hint="eastAsia" w:ascii="仿宋_GB2312" w:hAnsi="宋体" w:eastAsia="仿宋_GB2312" w:cs="宋体"/>
          <w:sz w:val="32"/>
          <w:szCs w:val="32"/>
        </w:rPr>
        <w:t>就业、教育、文化、社保、医疗、住房等公共服务体系更加健全，基本公共服务均等化水平明显提升。脱贫攻坚成果巩固拓展，城乡居民收入差距进一步缩小，人民生活更加美好。大力实施乡村振兴战略取得了显著成效。不断促进人的全面发展，全体人民共同富裕取得更为明显的实质性进展，人民群众的获得感、幸福感不断增强。</w:t>
      </w:r>
    </w:p>
    <w:p>
      <w:pPr>
        <w:pStyle w:val="13"/>
        <w:widowControl w:val="0"/>
        <w:spacing w:line="560" w:lineRule="exact"/>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——社会治理能力不断提升。</w:t>
      </w:r>
      <w:r>
        <w:rPr>
          <w:rFonts w:hint="eastAsia" w:ascii="仿宋_GB2312" w:hAnsi="宋体" w:eastAsia="仿宋_GB2312" w:cs="宋体"/>
          <w:sz w:val="32"/>
          <w:szCs w:val="32"/>
        </w:rPr>
        <w:t>民主政治建设加快推进，平安定安建设深入开展，全面深化改革任务如期完成，形成系统完备、科学规范、运行有效的制度体系。社会治理的科学化、法治化、现代化水平不断提升，初步建成治理体系和治理能力现代化先进县，增强人民群众的安全感。</w:t>
      </w:r>
    </w:p>
    <w:p>
      <w:pPr>
        <w:pStyle w:val="6"/>
        <w:spacing w:before="0" w:after="0" w:line="240" w:lineRule="auto"/>
        <w:ind w:left="0" w:leftChars="0" w:firstLine="0" w:firstLineChars="0"/>
        <w:jc w:val="center"/>
        <w:rPr>
          <w:rFonts w:hint="eastAsia" w:ascii="仿宋_GB2312" w:hAnsi="仿宋" w:eastAsia="仿宋_GB2312" w:cs="仿宋"/>
          <w:sz w:val="32"/>
          <w:szCs w:val="32"/>
        </w:rPr>
      </w:pPr>
      <w:r>
        <w:rPr>
          <w:rFonts w:hint="eastAsia" w:ascii="仿宋_GB2312" w:hAnsi="仿宋" w:eastAsia="仿宋_GB2312" w:cs="仿宋"/>
          <w:sz w:val="32"/>
          <w:szCs w:val="32"/>
        </w:rPr>
        <w:t>表2-1  “十四五”时期经济社会发展的主要指标</w:t>
      </w:r>
    </w:p>
    <w:tbl>
      <w:tblPr>
        <w:tblStyle w:val="8"/>
        <w:tblW w:w="8989" w:type="dxa"/>
        <w:jc w:val="center"/>
        <w:tblLayout w:type="fixed"/>
        <w:tblCellMar>
          <w:top w:w="0" w:type="dxa"/>
          <w:left w:w="0" w:type="dxa"/>
          <w:bottom w:w="0" w:type="dxa"/>
          <w:right w:w="0" w:type="dxa"/>
        </w:tblCellMar>
      </w:tblPr>
      <w:tblGrid>
        <w:gridCol w:w="641"/>
        <w:gridCol w:w="483"/>
        <w:gridCol w:w="1591"/>
        <w:gridCol w:w="642"/>
        <w:gridCol w:w="1091"/>
        <w:gridCol w:w="1035"/>
        <w:gridCol w:w="885"/>
        <w:gridCol w:w="915"/>
        <w:gridCol w:w="905"/>
        <w:gridCol w:w="801"/>
      </w:tblGrid>
      <w:tr>
        <w:tblPrEx>
          <w:tblCellMar>
            <w:top w:w="0" w:type="dxa"/>
            <w:left w:w="0" w:type="dxa"/>
            <w:bottom w:w="0" w:type="dxa"/>
            <w:right w:w="0" w:type="dxa"/>
          </w:tblCellMar>
        </w:tblPrEx>
        <w:trPr>
          <w:trHeight w:val="30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类别</w:t>
            </w:r>
          </w:p>
        </w:tc>
        <w:tc>
          <w:tcPr>
            <w:tcW w:w="207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指标</w:t>
            </w:r>
          </w:p>
        </w:tc>
        <w:tc>
          <w:tcPr>
            <w:tcW w:w="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单位</w:t>
            </w:r>
          </w:p>
        </w:tc>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2015年</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“十三五”完成</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“十四五”目标</w:t>
            </w:r>
          </w:p>
        </w:tc>
        <w:tc>
          <w:tcPr>
            <w:tcW w:w="8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属性</w:t>
            </w:r>
          </w:p>
        </w:tc>
      </w:tr>
      <w:tr>
        <w:tblPrEx>
          <w:tblCellMar>
            <w:top w:w="0" w:type="dxa"/>
            <w:left w:w="0" w:type="dxa"/>
            <w:bottom w:w="0" w:type="dxa"/>
            <w:right w:w="0" w:type="dxa"/>
          </w:tblCellMar>
        </w:tblPrEx>
        <w:trPr>
          <w:trHeight w:val="54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
                <w:sz w:val="22"/>
                <w:szCs w:val="22"/>
              </w:rPr>
            </w:pPr>
          </w:p>
        </w:tc>
        <w:tc>
          <w:tcPr>
            <w:tcW w:w="207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
                <w:sz w:val="22"/>
                <w:szCs w:val="22"/>
              </w:rPr>
            </w:pPr>
          </w:p>
        </w:tc>
        <w:tc>
          <w:tcPr>
            <w:tcW w:w="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
                <w:sz w:val="22"/>
                <w:szCs w:val="22"/>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2020年</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年均增长（%）</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2025年</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
                <w:sz w:val="22"/>
                <w:szCs w:val="22"/>
              </w:rPr>
            </w:pPr>
            <w:r>
              <w:rPr>
                <w:rFonts w:hint="eastAsia" w:ascii="仿宋_GB2312" w:hAnsi="仿宋_GB2312" w:eastAsia="仿宋_GB2312" w:cs="仿宋_GB2312"/>
                <w:b/>
                <w:kern w:val="0"/>
                <w:sz w:val="22"/>
                <w:szCs w:val="22"/>
                <w:lang w:bidi="ar"/>
              </w:rPr>
              <w:t>年均增速（%）</w:t>
            </w: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
                <w:sz w:val="22"/>
                <w:szCs w:val="22"/>
              </w:rPr>
            </w:pPr>
          </w:p>
        </w:tc>
      </w:tr>
      <w:tr>
        <w:tblPrEx>
          <w:tblCellMar>
            <w:top w:w="0" w:type="dxa"/>
            <w:left w:w="0" w:type="dxa"/>
            <w:bottom w:w="0" w:type="dxa"/>
            <w:right w:w="0" w:type="dxa"/>
          </w:tblCellMar>
        </w:tblPrEx>
        <w:trPr>
          <w:trHeight w:val="555"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经济发展</w:t>
            </w: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 全县生产总值（GDP）</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亿元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75.1</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105.88</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4.7</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187</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 全社会固定资产投资</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亿元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33.57</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35.43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4.2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71</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15</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(3) 社会消费品零售总额</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亿元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21.49</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28.28</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5.6</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56</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14.8</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(4) 地方一般公共预算收入</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亿元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3.72</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5.12</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10.3</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12</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 常住人口城镇化率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42.01</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46.48</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55</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3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(6) 接待旅游人数</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万人次</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227.14</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101.91</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250</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19.7</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3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(7)旅游总收入</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亿元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2.98</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5.81</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15</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20.9</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开放创新</w:t>
            </w: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(8) 实际利用外资总额</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万美元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17</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0</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2000</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 货物贸易进出口总额</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万美元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5802</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5024.1</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10000</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 研究经费投入占GDP比例</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1.2</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(11) 每万人口发明专利拥有量</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件</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0.48</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4</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111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共享发展</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(12) 城乡居民收入</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城镇常住居民人均可支配收入</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24027</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33878</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7.2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54561</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108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bCs/>
                <w:sz w:val="22"/>
                <w:szCs w:val="22"/>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农村常住居民人均可支配收入</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元</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10301</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15734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8.9</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26513</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11</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bCs/>
                <w:sz w:val="22"/>
                <w:szCs w:val="22"/>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城乡居民收入比</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2.33:1</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2.153：1</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2.06:1</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3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(13)城镇登记失业率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1.7</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kern w:val="0"/>
                <w:sz w:val="22"/>
                <w:szCs w:val="22"/>
                <w:lang w:bidi="ar"/>
              </w:rPr>
              <w:t>＜</w:t>
            </w:r>
            <w:r>
              <w:rPr>
                <w:rFonts w:hint="eastAsia" w:ascii="仿宋_GB2312" w:hAnsi="仿宋_GB2312" w:eastAsia="仿宋_GB2312" w:cs="仿宋_GB2312"/>
                <w:bCs/>
                <w:kern w:val="0"/>
                <w:sz w:val="22"/>
                <w:szCs w:val="22"/>
                <w:lang w:bidi="ar"/>
              </w:rPr>
              <w:t>4</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3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(14) 人均预期寿命</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岁</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78.9</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81</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(15) 每千人口拥有执业（助理）医师数</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人</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1.19</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(16) 每千人口医疗卫生机构床位数</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张</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2.5</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(17) 九年义务教育巩固率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93</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95</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96</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(18) 学前教育入园率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86</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kern w:val="0"/>
                <w:sz w:val="22"/>
                <w:szCs w:val="22"/>
                <w:lang w:bidi="ar"/>
              </w:rPr>
            </w:pPr>
            <w:r>
              <w:rPr>
                <w:rFonts w:hint="eastAsia" w:ascii="仿宋_GB2312" w:hAnsi="仿宋_GB2312" w:eastAsia="仿宋_GB2312" w:cs="仿宋_GB2312"/>
                <w:bCs/>
                <w:kern w:val="0"/>
                <w:sz w:val="22"/>
                <w:szCs w:val="22"/>
                <w:lang w:bidi="ar"/>
              </w:rPr>
              <w:t>(19) 高中阶段教育毛入学率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kern w:val="0"/>
                <w:sz w:val="22"/>
                <w:szCs w:val="22"/>
                <w:lang w:bidi="ar"/>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kern w:val="0"/>
                <w:sz w:val="22"/>
                <w:szCs w:val="22"/>
                <w:lang w:bidi="ar"/>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kern w:val="0"/>
                <w:sz w:val="22"/>
                <w:szCs w:val="22"/>
                <w:lang w:bidi="ar"/>
              </w:rPr>
            </w:pPr>
            <w:r>
              <w:rPr>
                <w:rFonts w:hint="eastAsia" w:ascii="仿宋_GB2312" w:hAnsi="仿宋_GB2312" w:eastAsia="仿宋_GB2312" w:cs="仿宋_GB2312"/>
                <w:bCs/>
                <w:kern w:val="0"/>
                <w:sz w:val="22"/>
                <w:szCs w:val="22"/>
                <w:lang w:bidi="ar"/>
              </w:rPr>
              <w:t>86</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kern w:val="0"/>
                <w:sz w:val="22"/>
                <w:szCs w:val="22"/>
                <w:lang w:bidi="ar"/>
              </w:rPr>
            </w:pPr>
            <w:r>
              <w:rPr>
                <w:rFonts w:hint="eastAsia" w:ascii="仿宋_GB2312" w:hAnsi="仿宋_GB2312" w:eastAsia="仿宋_GB2312" w:cs="仿宋_GB2312"/>
                <w:bCs/>
                <w:kern w:val="0"/>
                <w:sz w:val="22"/>
                <w:szCs w:val="22"/>
                <w:lang w:bidi="ar"/>
              </w:rPr>
              <w:t>92.5</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kern w:val="0"/>
                <w:sz w:val="22"/>
                <w:szCs w:val="22"/>
                <w:lang w:bidi="ar"/>
              </w:rPr>
            </w:pPr>
            <w:r>
              <w:rPr>
                <w:rFonts w:hint="eastAsia" w:ascii="仿宋_GB2312" w:hAnsi="仿宋_GB2312" w:eastAsia="仿宋_GB2312" w:cs="仿宋_GB2312"/>
                <w:bCs/>
                <w:kern w:val="0"/>
                <w:sz w:val="22"/>
                <w:szCs w:val="22"/>
                <w:lang w:bidi="ar"/>
              </w:rPr>
              <w:t>预期性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（20）劳动年龄人口平均受教育年限</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年</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bookmarkStart w:id="72" w:name="OLE_LINK1"/>
            <w:r>
              <w:rPr>
                <w:rFonts w:hint="eastAsia" w:ascii="仿宋_GB2312" w:hAnsi="仿宋_GB2312" w:eastAsia="仿宋_GB2312" w:cs="仿宋_GB2312"/>
                <w:bCs/>
                <w:kern w:val="0"/>
                <w:sz w:val="22"/>
                <w:szCs w:val="22"/>
                <w:lang w:bidi="ar"/>
              </w:rPr>
              <w:t>-</w:t>
            </w:r>
            <w:bookmarkEnd w:id="72"/>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10.8</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11.5</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r>
        <w:tblPrEx>
          <w:tblCellMar>
            <w:top w:w="0" w:type="dxa"/>
            <w:left w:w="0" w:type="dxa"/>
            <w:bottom w:w="0" w:type="dxa"/>
            <w:right w:w="0" w:type="dxa"/>
          </w:tblCellMar>
        </w:tblPrEx>
        <w:trPr>
          <w:trHeight w:val="555"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生态环保</w:t>
            </w: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(21) 单位GDP能耗降幅</w:t>
            </w:r>
          </w:p>
        </w:tc>
        <w:tc>
          <w:tcPr>
            <w:tcW w:w="36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以省公布数和下达指标为准</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(22)单位GDP二氧化碳降幅</w:t>
            </w:r>
          </w:p>
        </w:tc>
        <w:tc>
          <w:tcPr>
            <w:tcW w:w="36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以省公布数和下达指标为准</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r>
        <w:tblPrEx>
          <w:tblCellMar>
            <w:top w:w="0" w:type="dxa"/>
            <w:left w:w="0" w:type="dxa"/>
            <w:bottom w:w="0" w:type="dxa"/>
            <w:right w:w="0"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(23)细颗粒物（PM2.5）浓度</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微克/每立方米</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14</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14</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预期</w:t>
            </w:r>
            <w:r>
              <w:rPr>
                <w:rStyle w:val="14"/>
                <w:rFonts w:hint="eastAsia" w:ascii="仿宋_GB2312" w:hAnsi="仿宋_GB2312" w:eastAsia="仿宋_GB2312" w:cs="仿宋_GB2312"/>
                <w:bCs/>
                <w:color w:val="auto"/>
                <w:sz w:val="22"/>
                <w:szCs w:val="22"/>
                <w:lang w:eastAsia="zh-CN" w:bidi="ar"/>
              </w:rPr>
              <w:t>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(24)城镇空气质量优良天数比例</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99.4</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98</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r>
        <w:tblPrEx>
          <w:tblCellMar>
            <w:top w:w="0" w:type="dxa"/>
            <w:left w:w="0" w:type="dxa"/>
            <w:bottom w:w="0" w:type="dxa"/>
            <w:right w:w="0" w:type="dxa"/>
          </w:tblCellMar>
        </w:tblPrEx>
        <w:trPr>
          <w:trHeight w:val="5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(25)地表水达到或好于Ⅲ类水体比例</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88.9</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91</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r>
        <w:tblPrEx>
          <w:tblCellMar>
            <w:top w:w="0" w:type="dxa"/>
            <w:left w:w="0" w:type="dxa"/>
            <w:bottom w:w="0" w:type="dxa"/>
            <w:right w:w="0" w:type="dxa"/>
          </w:tblCellMar>
        </w:tblPrEx>
        <w:trPr>
          <w:trHeight w:val="3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bCs/>
                <w:sz w:val="22"/>
                <w:szCs w:val="22"/>
              </w:rPr>
            </w:pPr>
          </w:p>
        </w:tc>
        <w:tc>
          <w:tcPr>
            <w:tcW w:w="2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(26)森林覆盖率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59.17</w:t>
            </w:r>
          </w:p>
        </w:tc>
        <w:tc>
          <w:tcPr>
            <w:tcW w:w="1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62.01</w:t>
            </w:r>
          </w:p>
        </w:tc>
        <w:tc>
          <w:tcPr>
            <w:tcW w:w="1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56</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lang w:bidi="ar"/>
              </w:rPr>
              <w:t>约束性</w:t>
            </w:r>
          </w:p>
        </w:tc>
      </w:tr>
    </w:tbl>
    <w:p>
      <w:pPr>
        <w:overflowPunct w:val="0"/>
        <w:spacing w:line="400" w:lineRule="exact"/>
        <w:ind w:firstLine="480" w:firstLineChars="200"/>
        <w:rPr>
          <w:rFonts w:hint="eastAsia" w:ascii="楷体_GB2312" w:hAnsi="仿宋_GB2312" w:eastAsia="楷体_GB2312" w:cs="仿宋_GB2312"/>
          <w:bCs/>
          <w:sz w:val="24"/>
        </w:rPr>
      </w:pPr>
      <w:r>
        <w:rPr>
          <w:rFonts w:hint="eastAsia" w:ascii="楷体_GB2312" w:hAnsi="仿宋" w:eastAsia="楷体_GB2312" w:cs="仿宋"/>
          <w:sz w:val="24"/>
          <w:shd w:val="clear" w:color="auto" w:fill="FFFFFF"/>
        </w:rPr>
        <w:t>注</w:t>
      </w:r>
      <w:r>
        <w:rPr>
          <w:rFonts w:hint="eastAsia" w:ascii="楷体_GB2312" w:hAnsi="仿宋_GB2312" w:eastAsia="楷体_GB2312" w:cs="仿宋_GB2312"/>
          <w:bCs/>
          <w:sz w:val="24"/>
        </w:rPr>
        <w:t>：1.2025年地区生产总值为当年价，增速为可比价；</w:t>
      </w:r>
    </w:p>
    <w:p>
      <w:pPr>
        <w:overflowPunct w:val="0"/>
        <w:spacing w:line="400" w:lineRule="exact"/>
        <w:ind w:firstLine="960" w:firstLineChars="400"/>
      </w:pPr>
      <w:r>
        <w:rPr>
          <w:rFonts w:hint="eastAsia" w:ascii="楷体_GB2312" w:hAnsi="仿宋_GB2312" w:eastAsia="楷体_GB2312" w:cs="仿宋_GB2312"/>
          <w:bCs/>
          <w:sz w:val="24"/>
        </w:rPr>
        <w:t>2.地表水达到或好于III类水体比例指省控地表水水质优良比例。</w:t>
      </w:r>
    </w:p>
    <w:p>
      <w:pPr>
        <w:keepNext w:val="0"/>
        <w:keepLines w:val="0"/>
        <w:pageBreakBefore w:val="0"/>
        <w:widowControl w:val="0"/>
        <w:kinsoku/>
        <w:wordWrap/>
        <w:overflowPunct/>
        <w:topLinePunct w:val="0"/>
        <w:autoSpaceDE/>
        <w:autoSpaceDN/>
        <w:bidi w:val="0"/>
        <w:adjustRightInd/>
        <w:snapToGrid/>
        <w:spacing w:before="241" w:beforeLines="50" w:after="241" w:afterLines="50" w:line="560" w:lineRule="exact"/>
        <w:ind w:left="0" w:leftChars="0" w:right="0" w:rightChars="0" w:firstLine="0" w:firstLineChars="0"/>
        <w:jc w:val="center"/>
        <w:textAlignment w:val="auto"/>
        <w:outlineLvl w:val="1"/>
        <w:rPr>
          <w:rFonts w:hint="eastAsia" w:ascii="楷体_GB2312" w:hAnsi="仿宋" w:eastAsia="楷体_GB2312" w:cs="仿宋"/>
          <w:b w:val="0"/>
          <w:bCs w:val="0"/>
          <w:sz w:val="32"/>
          <w:szCs w:val="32"/>
        </w:rPr>
      </w:pPr>
      <w:bookmarkStart w:id="73" w:name="_Toc54189181"/>
      <w:bookmarkStart w:id="74" w:name="_Toc684"/>
      <w:bookmarkStart w:id="75" w:name="_Toc31128"/>
      <w:bookmarkStart w:id="76" w:name="_Toc4891"/>
      <w:bookmarkStart w:id="77" w:name="_Toc10779"/>
      <w:bookmarkStart w:id="78" w:name="_Toc20403"/>
      <w:bookmarkStart w:id="79" w:name="_Toc26330"/>
      <w:bookmarkStart w:id="80" w:name="_Toc10341"/>
      <w:bookmarkStart w:id="81" w:name="_Toc32106"/>
      <w:r>
        <w:rPr>
          <w:rFonts w:hint="eastAsia" w:ascii="楷体_GB2312" w:hAnsi="楷体" w:eastAsia="楷体_GB2312" w:cs="楷体"/>
          <w:b w:val="0"/>
          <w:bCs w:val="0"/>
          <w:sz w:val="32"/>
          <w:szCs w:val="32"/>
        </w:rPr>
        <w:t>第四节  发展格局</w:t>
      </w:r>
      <w:bookmarkEnd w:id="73"/>
      <w:bookmarkEnd w:id="74"/>
      <w:bookmarkEnd w:id="75"/>
      <w:bookmarkEnd w:id="76"/>
      <w:bookmarkEnd w:id="77"/>
      <w:bookmarkEnd w:id="78"/>
      <w:bookmarkEnd w:id="79"/>
      <w:bookmarkEnd w:id="80"/>
      <w:bookmarkEnd w:id="81"/>
    </w:p>
    <w:p>
      <w:pPr>
        <w:pStyle w:val="12"/>
        <w:spacing w:line="560" w:lineRule="exact"/>
        <w:ind w:firstLine="672" w:firstLineChars="200"/>
        <w:jc w:val="both"/>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实施</w:t>
      </w:r>
      <w:r>
        <w:rPr>
          <w:rFonts w:hint="eastAsia" w:ascii="仿宋_GB2312" w:hAnsi="仿宋_GB2312" w:eastAsia="仿宋_GB2312" w:cs="仿宋_GB2312"/>
          <w:b/>
          <w:bCs/>
          <w:color w:val="auto"/>
          <w:spacing w:val="8"/>
          <w:sz w:val="32"/>
          <w:szCs w:val="32"/>
          <w:shd w:val="clear" w:color="auto" w:fill="FFFFFF"/>
        </w:rPr>
        <w:t>“北融东联、突出三区、做强中轴”</w:t>
      </w:r>
      <w:r>
        <w:rPr>
          <w:rFonts w:hint="eastAsia" w:ascii="仿宋_GB2312" w:hAnsi="仿宋_GB2312" w:eastAsia="仿宋_GB2312" w:cs="仿宋_GB2312"/>
          <w:color w:val="auto"/>
          <w:spacing w:val="8"/>
          <w:sz w:val="32"/>
          <w:szCs w:val="32"/>
          <w:shd w:val="clear" w:color="auto" w:fill="FFFFFF"/>
        </w:rPr>
        <w:t>发展战略，构建定安</w:t>
      </w:r>
      <w:r>
        <w:rPr>
          <w:rFonts w:hint="eastAsia" w:ascii="仿宋_GB2312" w:hAnsi="仿宋_GB2312" w:eastAsia="仿宋_GB2312" w:cs="仿宋_GB2312"/>
          <w:b/>
          <w:bCs/>
          <w:color w:val="auto"/>
          <w:spacing w:val="8"/>
          <w:sz w:val="32"/>
          <w:szCs w:val="32"/>
          <w:shd w:val="clear" w:color="auto" w:fill="FFFFFF"/>
        </w:rPr>
        <w:t>“三区一轴多点”</w:t>
      </w:r>
      <w:r>
        <w:rPr>
          <w:rFonts w:hint="eastAsia" w:ascii="仿宋_GB2312" w:hAnsi="仿宋_GB2312" w:eastAsia="仿宋_GB2312" w:cs="仿宋_GB2312"/>
          <w:color w:val="auto"/>
          <w:spacing w:val="8"/>
          <w:sz w:val="32"/>
          <w:szCs w:val="32"/>
          <w:shd w:val="clear" w:color="auto" w:fill="FFFFFF"/>
        </w:rPr>
        <w:t>的城乡联动发展格局，打造县域经济发展重要增长极，向北全面融入“海澄文定”综合经济圈，向东联动琼海和万宁，推动区域协调发展。以“一轴”为脉络，立足北部江河田园、中部湖泊、南部山林自然地理禀赋，推进新型城镇化建设，打造全县经济大动脉，串联三区发展，形成枢纽型网络城镇格局。北部片区内涵式发展提升，深化城市更新，增强高端资源配置能力，主要承载“古城+美食+田园+园区”四大元素，突出“+文化”，建设海南历史文化旅游目的地，建强定安政治经济文化中心，充分发挥对全县的辐射带动作用。中部片区围绕“体育+”、“健康+”，重点建设体育、健身、赛事、旅游度假等融合发展的体育运动休闲公园和集度假疗养、乡村休闲为一体的综合性生态健康养生基地。南部片区依托红色资源和生态资源，深化与周边市县联动发展，以“红色+”高标准建设母瑞山干部学院红色教育基地，带动擦亮“百里百村”乡村旅游名片，焕发海南最大乡村旅游示范区新的生机，打造绿色发展“新样板”。</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1.突出三区</w:t>
      </w:r>
    </w:p>
    <w:p>
      <w:pPr>
        <w:widowControl/>
        <w:adjustRightInd w:val="0"/>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做优做大北部“定城片区”。</w:t>
      </w:r>
      <w:r>
        <w:rPr>
          <w:rFonts w:hint="eastAsia" w:ascii="仿宋_GB2312" w:hAnsi="仿宋" w:eastAsia="仿宋_GB2312" w:cs="仿宋"/>
          <w:sz w:val="32"/>
          <w:szCs w:val="32"/>
        </w:rPr>
        <w:t>加强城市经营，依托园区企业劳动密集效应，并以产业发展、院校建设等带动人口聚集，促进主城区常住人口稳步增长。结合自由贸易港政策合理进行产业空间布局，科学规划县城空间结构和总体功能布局。深挖老县衙、明城墙、琼剧、历史文化名村等人文旅游资源，加强文旅融合发展。打造南渡江滨江田园综合体，建成生态农业经济带。依托交通便利的区位优势，将享有盛誉的特色美食与农业、现代服务业深度融合，着力打造美景美食产业链，促进优势放大与文化产业联动发展。</w:t>
      </w:r>
    </w:p>
    <w:p>
      <w:pPr>
        <w:adjustRightInd w:val="0"/>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做美做强中部“文笔峰—南丽湖片区”。</w:t>
      </w:r>
      <w:r>
        <w:rPr>
          <w:rFonts w:hint="eastAsia" w:ascii="仿宋_GB2312" w:hAnsi="仿宋" w:eastAsia="仿宋_GB2312" w:cs="仿宋"/>
          <w:sz w:val="32"/>
          <w:szCs w:val="32"/>
        </w:rPr>
        <w:t>突出“山林、河湖、田园、文化”的鲜明特色，营造景观水面，打造景观节点，建设环南丽湖生态保护旅游经济带。完善旅游、体育配套设施，策划环湖骑行、户外拓展、水上运动等体育活动，延伸体育竞赛产业链条。培育专业会展品牌，构建集会议展览、商务交流、休闲度假等行业联动机制，建设南丽湖区域会议中心。推动文笔峰创建5A级景区，大力发展传统文化，推动康养一体化发展。以共享农庄带动，以观光、采摘为主导，以民宿体验为配套，将特色村镇、文化古迹、农业庄园等串点成线，将中部片区建成带动全县发展的新引擎。</w:t>
      </w:r>
    </w:p>
    <w:p>
      <w:pPr>
        <w:widowControl/>
        <w:adjustRightInd w:val="0"/>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做精做深南部“母瑞山—百里百村片区”。</w:t>
      </w:r>
      <w:r>
        <w:rPr>
          <w:rFonts w:hint="eastAsia" w:ascii="仿宋_GB2312" w:hAnsi="仿宋" w:eastAsia="仿宋_GB2312" w:cs="仿宋"/>
          <w:sz w:val="32"/>
          <w:szCs w:val="32"/>
        </w:rPr>
        <w:t>弘扬母瑞山革命精神，加快对红色旅游资源的整合、保护、开发，高标准协同建设母瑞山干部学院，配套建设母瑞山革命根据地纪念园烈士陵园等设施，加快完善母瑞山地区基础设施，提高旅游服务接待能力，擦亮母瑞山“琼岛井冈”红色教育培训品牌。以“百里百村”为重要抓手，完善“四镇一场”乡村旅游景区景点的服务配套，重点保护开发久温塘冷泉、亚洲榕树王以及南建州文化等稀缺旅游资源。</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2.做强中轴</w:t>
      </w:r>
    </w:p>
    <w:p>
      <w:pPr>
        <w:adjustRightIn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规划建设海口羊山大道至定安母瑞山快速干道，推动与海口交通同城，加强与琼海市、屯昌县等市县的交通联系，打通定安“中轴线”，串联“三区”形成定安发展内核。进一步推进县道、乡道和村庄道路等交通最后一公里改造提升工程，贯通“主动脉”与“毛细血管”，带动定安交通全面升级，挖掘和整合中轴线沿线的旅游资源、历史资源、人文资源，推进农旅融合发展，做精做强做大乡村旅游、文化旅游和红色旅游等，进一步辐射带动周边村镇发展，把中轴线打造成为定安的经济轴、产业轴和振兴轴。</w:t>
      </w:r>
    </w:p>
    <w:p>
      <w:pPr>
        <w:spacing w:line="560" w:lineRule="exact"/>
        <w:ind w:firstLine="642" w:firstLineChars="200"/>
        <w:jc w:val="left"/>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3.发展多节点</w:t>
      </w:r>
    </w:p>
    <w:p>
      <w:pPr>
        <w:spacing w:line="560" w:lineRule="exact"/>
        <w:ind w:firstLine="640" w:firstLineChars="200"/>
        <w:jc w:val="left"/>
        <w:outlineLvl w:val="2"/>
        <w:rPr>
          <w:rFonts w:hint="eastAsia" w:ascii="仿宋_GB2312" w:hAnsi="仿宋" w:eastAsia="仿宋_GB2312" w:cs="仿宋"/>
          <w:sz w:val="32"/>
          <w:szCs w:val="32"/>
        </w:rPr>
      </w:pPr>
      <w:r>
        <w:rPr>
          <w:rFonts w:hint="eastAsia" w:ascii="仿宋_GB2312" w:hAnsi="仿宋" w:eastAsia="仿宋_GB2312" w:cs="仿宋"/>
          <w:sz w:val="32"/>
          <w:szCs w:val="32"/>
        </w:rPr>
        <w:t>加快发展特色镇、特色村，谋划建设黄竹、翰林、新序等一批特色产业小镇，及南渡江滨江田园、高林村、久温塘等一批特色美丽乡村，构建乡村旅游由点到线、由线到面、全面发展新格局，推动全域旅游发展。</w:t>
      </w:r>
    </w:p>
    <w:p>
      <w:pPr>
        <w:pStyle w:val="12"/>
        <w:spacing w:before="239" w:beforeLines="50" w:after="239" w:afterLines="50" w:line="560" w:lineRule="exact"/>
        <w:ind w:left="0" w:leftChars="0" w:firstLine="0" w:firstLineChars="0"/>
        <w:jc w:val="center"/>
        <w:outlineLvl w:val="0"/>
        <w:rPr>
          <w:rFonts w:hint="eastAsia" w:ascii="黑体" w:hAnsi="黑体" w:eastAsia="黑体"/>
          <w:b/>
          <w:color w:val="auto"/>
          <w:sz w:val="32"/>
          <w:szCs w:val="32"/>
        </w:rPr>
      </w:pPr>
      <w:bookmarkStart w:id="82" w:name="_Toc54189159"/>
      <w:bookmarkStart w:id="83" w:name="_Toc11551"/>
      <w:bookmarkStart w:id="84" w:name="_Toc54189182"/>
      <w:bookmarkStart w:id="85" w:name="_Toc17142"/>
      <w:bookmarkStart w:id="86" w:name="_Toc17994"/>
      <w:bookmarkStart w:id="87" w:name="_Toc6116"/>
      <w:bookmarkStart w:id="88" w:name="_Toc8434"/>
      <w:bookmarkStart w:id="89" w:name="_Toc18404"/>
      <w:bookmarkStart w:id="90" w:name="_Toc13190"/>
      <w:bookmarkStart w:id="91" w:name="_Toc27323"/>
      <w:bookmarkStart w:id="92" w:name="_Toc7524"/>
      <w:bookmarkStart w:id="93" w:name="_Toc16941"/>
      <w:bookmarkStart w:id="94" w:name="_Toc16259"/>
      <w:r>
        <w:rPr>
          <w:rFonts w:hint="eastAsia" w:ascii="黑体" w:hAnsi="黑体" w:eastAsia="黑体"/>
          <w:bCs/>
          <w:color w:val="auto"/>
          <w:sz w:val="32"/>
          <w:szCs w:val="32"/>
        </w:rPr>
        <w:t>第三章  加快改革创新，打造开放定安</w:t>
      </w:r>
      <w:bookmarkEnd w:id="82"/>
      <w:bookmarkEnd w:id="83"/>
      <w:bookmarkEnd w:id="84"/>
      <w:bookmarkEnd w:id="85"/>
      <w:bookmarkEnd w:id="86"/>
      <w:bookmarkEnd w:id="87"/>
      <w:bookmarkEnd w:id="88"/>
      <w:bookmarkEnd w:id="89"/>
      <w:bookmarkEnd w:id="90"/>
      <w:bookmarkEnd w:id="91"/>
      <w:bookmarkEnd w:id="92"/>
      <w:bookmarkEnd w:id="93"/>
      <w:bookmarkEnd w:id="94"/>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坚持全面深化改革开放，把创新作为引领发展的第一动力，破除制约高质量发展的体制机制障碍，强化有利于提高资源配置效率、有利于调动全社会积极性的重大改革开放举措，持续增强发展动力和活力。</w:t>
      </w:r>
    </w:p>
    <w:p>
      <w:pPr>
        <w:spacing w:before="239" w:beforeLines="50" w:after="239" w:afterLines="50" w:line="560" w:lineRule="exact"/>
        <w:ind w:left="0" w:leftChars="0" w:firstLine="0" w:firstLineChars="0"/>
        <w:jc w:val="center"/>
        <w:outlineLvl w:val="1"/>
        <w:rPr>
          <w:rFonts w:hint="eastAsia" w:ascii="楷体_GB2312" w:hAnsi="仿宋" w:eastAsia="楷体_GB2312" w:cs="仿宋"/>
          <w:bCs/>
          <w:sz w:val="32"/>
          <w:szCs w:val="32"/>
        </w:rPr>
      </w:pPr>
      <w:bookmarkStart w:id="95" w:name="_Toc23680"/>
      <w:bookmarkStart w:id="96" w:name="_Toc54189183"/>
      <w:bookmarkStart w:id="97" w:name="_Toc8656"/>
      <w:bookmarkStart w:id="98" w:name="_Toc5731"/>
      <w:bookmarkStart w:id="99" w:name="_Toc20109"/>
      <w:bookmarkStart w:id="100" w:name="_Toc7021"/>
      <w:bookmarkStart w:id="101" w:name="_Toc22436"/>
      <w:bookmarkStart w:id="102" w:name="_Toc2684"/>
      <w:bookmarkStart w:id="103" w:name="_Toc24260"/>
      <w:r>
        <w:rPr>
          <w:rFonts w:hint="eastAsia" w:ascii="楷体_GB2312" w:hAnsi="楷体" w:eastAsia="楷体_GB2312" w:cs="楷体"/>
          <w:bCs/>
          <w:sz w:val="32"/>
          <w:szCs w:val="32"/>
        </w:rPr>
        <w:t>第一节  深化改革，</w:t>
      </w:r>
      <w:bookmarkEnd w:id="95"/>
      <w:bookmarkEnd w:id="96"/>
      <w:bookmarkEnd w:id="97"/>
      <w:bookmarkEnd w:id="98"/>
      <w:bookmarkEnd w:id="99"/>
      <w:r>
        <w:rPr>
          <w:rFonts w:hint="eastAsia" w:ascii="楷体_GB2312" w:hAnsi="楷体" w:eastAsia="楷体_GB2312" w:cs="楷体"/>
          <w:bCs/>
          <w:sz w:val="32"/>
          <w:szCs w:val="32"/>
        </w:rPr>
        <w:t>创新体制机制</w:t>
      </w:r>
      <w:bookmarkEnd w:id="100"/>
      <w:bookmarkEnd w:id="101"/>
      <w:bookmarkEnd w:id="102"/>
      <w:bookmarkEnd w:id="103"/>
    </w:p>
    <w:p>
      <w:pPr>
        <w:spacing w:line="560" w:lineRule="exact"/>
        <w:ind w:firstLine="643"/>
        <w:rPr>
          <w:rFonts w:hint="eastAsia" w:ascii="仿宋_GB2312" w:hAnsi="仿宋" w:eastAsia="仿宋_GB2312" w:cs="仿宋"/>
          <w:sz w:val="32"/>
          <w:szCs w:val="32"/>
        </w:rPr>
      </w:pPr>
      <w:r>
        <w:rPr>
          <w:rFonts w:hint="eastAsia" w:ascii="仿宋_GB2312" w:hAnsi="仿宋" w:eastAsia="仿宋_GB2312" w:cs="仿宋"/>
          <w:b/>
          <w:sz w:val="32"/>
          <w:szCs w:val="32"/>
        </w:rPr>
        <w:t>落实大部门制改革。</w:t>
      </w:r>
      <w:r>
        <w:rPr>
          <w:rFonts w:hint="eastAsia" w:ascii="仿宋_GB2312" w:hAnsi="仿宋" w:eastAsia="仿宋_GB2312" w:cs="仿宋"/>
          <w:bCs/>
          <w:sz w:val="32"/>
          <w:szCs w:val="32"/>
        </w:rPr>
        <w:t>按照“一类事情由一个部门管理”的原则，分步骤分阶段精简党政机构，构建功能全、机构简、效率高的行政管理体系。加快党政机关数字化转型，深入推进公共数据共享、开放，形成“用数据决策、用数据管理、用数据服务”的高效精准的公共管理与服务机制。</w:t>
      </w:r>
      <w:r>
        <w:rPr>
          <w:rFonts w:hint="eastAsia" w:ascii="仿宋_GB2312" w:hAnsi="仿宋" w:eastAsia="仿宋_GB2312" w:cs="仿宋"/>
          <w:sz w:val="32"/>
          <w:szCs w:val="32"/>
        </w:rPr>
        <w:t>推进事业单位企业化管理、“一枚印章管审批”改革，完善相关配套制度；稳妥实施公益类事业单位、法定机构有关政策措施，及实行市场化运作。</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sz w:val="32"/>
          <w:szCs w:val="32"/>
        </w:rPr>
        <w:t>深化“多规合一”改革。</w:t>
      </w:r>
      <w:r>
        <w:rPr>
          <w:rFonts w:hint="eastAsia" w:ascii="仿宋_GB2312" w:hAnsi="仿宋" w:eastAsia="仿宋_GB2312" w:cs="仿宋"/>
          <w:sz w:val="32"/>
          <w:szCs w:val="32"/>
        </w:rPr>
        <w:t>强化“多规合一”制度集成创新，建立完善统一高效的国土空间规划编制、实施保障、监督体系。科学编制和严格实施全县国土空间规划，完善详细规划编制，健全各类专项规划，调整优化全县耕地、永久基本农田、林地、建设用地布局。制定新农村建设标准，编制新一轮村庄规划，实现逢建必报。制定实施集约节约用地制度、评价标准以及存量建设用地盘活处置政策。制定重点园区产业项目用地协议出让办法，严格界定协议出让范围和负面清单。深入推进城镇低效用地再开发，探索开展闲置土地处置试点。</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sz w:val="32"/>
          <w:szCs w:val="32"/>
        </w:rPr>
        <w:t>推进投融资体制改革。</w:t>
      </w:r>
      <w:r>
        <w:rPr>
          <w:rFonts w:hint="eastAsia" w:ascii="仿宋_GB2312" w:hAnsi="仿宋" w:eastAsia="仿宋_GB2312" w:cs="仿宋"/>
          <w:sz w:val="32"/>
          <w:szCs w:val="32"/>
        </w:rPr>
        <w:t>推动预算管理一体化改革，加强专项资金管理改革。规范运用政府和社会资本合作等模式，引导社会资本参与基础设施建设和民生事业。创新投融资渠道, 对设立产业创新专项资金，支持现代化项目建设、促进科技产业发展、加快提升科技创新能力、推进“海澄文定”区域化管理等领域给予资金扶植。吸引国内外政策性银行支持定安新型城镇化建设、乡村振兴发展项目建设。鼓励基础设施不动产投资信托基金（REITS）产品发行，盘活优质存量资产。</w:t>
      </w:r>
    </w:p>
    <w:p>
      <w:pPr>
        <w:spacing w:line="560" w:lineRule="exact"/>
        <w:ind w:firstLine="642" w:firstLineChars="200"/>
        <w:rPr>
          <w:rFonts w:hint="eastAsia"/>
        </w:rPr>
      </w:pPr>
      <w:r>
        <w:rPr>
          <w:rFonts w:hint="eastAsia" w:ascii="仿宋_GB2312" w:hAnsi="仿宋" w:eastAsia="仿宋_GB2312" w:cs="仿宋"/>
          <w:b/>
          <w:sz w:val="32"/>
          <w:szCs w:val="32"/>
        </w:rPr>
        <w:t>持续深化农村农垦改革。</w:t>
      </w:r>
      <w:r>
        <w:rPr>
          <w:rFonts w:hint="eastAsia" w:ascii="仿宋_GB2312" w:hAnsi="仿宋" w:eastAsia="仿宋_GB2312" w:cs="仿宋"/>
          <w:sz w:val="32"/>
          <w:szCs w:val="32"/>
        </w:rPr>
        <w:t>全面完成农村集体产权制度改革，推进集体经营性资产股份合作制改革，探索农村集体经济新的实现形式和运行机制。扎实推进房地一体的农村集体建设用地和宅基地确权登记颁证。完善农村承包地“三权分置”制度。探索宅基地所有权、资格权、使用权“三权分置”。允许地方多渠道筹集资金，用于村集体对进城落户农民自愿退出承包地和宅基地的补偿。调整优化村庄用地布局，有效利用农村零星分散的存量建设用地。对利用收储农村闲置建设用地发展农村新产业新业态，给予新增建设用地指标奖励。完善农民闲置宅基地和闲置农房政策，允许农村以承包土地的经营权依法向金融机构融资担保、入股从事农业产业化经营，深化农村承包土地的经营权和农民住房财产权抵押贷款试点，探索县级土地储备公司和平台公司参与“两权”抵押，激活乡村沉睡的资源。发挥政府投入引导和撬动作用，吸引社会资本和金融机构参与土地综合整治，推进资源变资产、资金变股金、村民变股东改革，土地综合整治形成的资产可折算成村集体股权，构建村民权益长效保障机制。确保财政投入稳定增长，健全适合农业农村特点的农村金融体系，鼓励引导工商资本下乡。健全自然资源产权制度和有偿使用制度，逐步将农村承包土地经营权、集体资产的使用权、农村集体经济组织的股权、宅基地使用权、房屋所有权、农业生产设施使用权等纳入交易范围。推动垦区资源资产整合、产业优化升级、科技创新成果转化和土地资源资产化资本化，将“三块地”改革拓展到垦区，探索垦区和小城镇用地新模式，促进城乡和垦地协调发展。弘扬基层首创精神，从群众身边小事出发，积极推动“微改革”。</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推进国资国企改革。</w:t>
      </w:r>
      <w:r>
        <w:rPr>
          <w:rFonts w:hint="eastAsia" w:ascii="仿宋_GB2312" w:hAnsi="仿宋" w:eastAsia="仿宋_GB2312" w:cs="仿宋"/>
          <w:sz w:val="32"/>
          <w:szCs w:val="32"/>
        </w:rPr>
        <w:t>完成县属僵尸企业处置工作。对国有企业进行梳理，将连续亏损且与母公司主业无关的二级以下企业列入“治困”名单，促进国有企业转型升级，不断增强竞争力、创新力、影响力、控制力和抗风险能力，释放企业市场活力。整合县属国有资产资源，打造投资运营平台公司。发挥国资主力军、生力军作用，融入全省国资国企发展的大格局，与省属企业合作，在“五网”建设、园区开发、产业引导、区域融合发展、环境治理建设、智慧城市建设、现代农业开发中发挥重要作用。积极解决国企改革历史遗留问题，稳妥做好去产能职工安置工作，平稳有序推进转岗再就业工作。</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104" w:name="_Toc31003"/>
      <w:bookmarkStart w:id="105" w:name="_Toc54189184"/>
      <w:bookmarkStart w:id="106" w:name="_Toc17236"/>
      <w:bookmarkStart w:id="107" w:name="_Toc1197"/>
      <w:bookmarkStart w:id="108" w:name="_Toc3316"/>
      <w:bookmarkStart w:id="109" w:name="_Toc5318"/>
      <w:bookmarkStart w:id="110" w:name="_Toc20507"/>
      <w:bookmarkStart w:id="111" w:name="_Toc21240"/>
      <w:bookmarkStart w:id="112" w:name="_Toc7137"/>
      <w:r>
        <w:rPr>
          <w:rFonts w:hint="eastAsia" w:ascii="楷体_GB2312" w:hAnsi="楷体" w:eastAsia="楷体_GB2312" w:cs="楷体"/>
          <w:bCs/>
          <w:sz w:val="32"/>
          <w:szCs w:val="32"/>
        </w:rPr>
        <w:t>第二节  扩大开放，</w:t>
      </w:r>
      <w:bookmarkEnd w:id="104"/>
      <w:bookmarkEnd w:id="105"/>
      <w:bookmarkEnd w:id="106"/>
      <w:bookmarkEnd w:id="107"/>
      <w:bookmarkEnd w:id="108"/>
      <w:r>
        <w:rPr>
          <w:rFonts w:hint="eastAsia" w:ascii="楷体_GB2312" w:hAnsi="楷体" w:eastAsia="楷体_GB2312" w:cs="楷体"/>
          <w:bCs/>
          <w:sz w:val="32"/>
          <w:szCs w:val="32"/>
        </w:rPr>
        <w:t>积极参与自贸港建设</w:t>
      </w:r>
      <w:bookmarkEnd w:id="109"/>
      <w:bookmarkEnd w:id="110"/>
      <w:bookmarkEnd w:id="111"/>
      <w:bookmarkEnd w:id="112"/>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sz w:val="32"/>
          <w:szCs w:val="32"/>
        </w:rPr>
        <w:t>促进要素跨境流动。</w:t>
      </w:r>
      <w:r>
        <w:rPr>
          <w:rFonts w:hint="eastAsia" w:ascii="仿宋_GB2312" w:hAnsi="仿宋" w:eastAsia="仿宋_GB2312" w:cs="仿宋"/>
          <w:sz w:val="32"/>
          <w:szCs w:val="32"/>
        </w:rPr>
        <w:t>用好自贸港“六个自由便利”等制度优势，主动衔接融入自贸港政策制度体系，积极有序参与开放进程，注重引进技术、人才、资金、信息、物流、商贸等高端发展要素，为国内外要素在定安集聚营造良好的政策环境。推动落实自由贸易港市场准入承诺即入制，落实以过程监管为重点的投资便利制度，提升产业集聚区对外开放水平，打造跨境要素集聚平台。打造公平竞争制度环境，确保各类所有制市场主体在要素获取、标准制定、准入许可、经营运营、优惠政策等方面享受平等待遇。</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sz w:val="32"/>
          <w:szCs w:val="32"/>
        </w:rPr>
        <w:t>努力扩大外贸规模。</w:t>
      </w:r>
      <w:r>
        <w:rPr>
          <w:rFonts w:hint="eastAsia" w:ascii="仿宋_GB2312" w:hAnsi="仿宋" w:eastAsia="仿宋_GB2312" w:cs="仿宋"/>
          <w:sz w:val="32"/>
          <w:szCs w:val="32"/>
        </w:rPr>
        <w:t>用好自贸港“零关税、低税率、简税制”等制度优势，承接国内外产业转移，主动参与全球产业分工，建设面向全球的热带农产品深加工体系、新兴产业发展基地，打造区域性的仓储物流总部。积极推进免税店落户进驻，推动日消品免税店快速开店。做好进出口企业孵化工作，落实优惠政策，为企业提供全方位服务。努力扩大出口份额，支持特色热带农产品、加工产品对外出口，发挥出口对经济带动作用。</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113" w:name="_Toc27031"/>
      <w:bookmarkStart w:id="114" w:name="_Toc54189185"/>
      <w:bookmarkStart w:id="115" w:name="_Toc4190"/>
      <w:bookmarkStart w:id="116" w:name="_Toc20430"/>
      <w:bookmarkStart w:id="117" w:name="_Toc23344"/>
      <w:bookmarkStart w:id="118" w:name="_Toc1308"/>
      <w:bookmarkStart w:id="119" w:name="_Toc32125"/>
      <w:bookmarkStart w:id="120" w:name="_Toc31193"/>
      <w:bookmarkStart w:id="121" w:name="_Toc9657"/>
      <w:r>
        <w:rPr>
          <w:rFonts w:hint="eastAsia" w:ascii="楷体_GB2312" w:hAnsi="楷体" w:eastAsia="楷体_GB2312" w:cs="楷体"/>
          <w:bCs/>
          <w:sz w:val="32"/>
          <w:szCs w:val="32"/>
        </w:rPr>
        <w:t>第三节  突出创新，培育发展新动能</w:t>
      </w:r>
      <w:bookmarkEnd w:id="113"/>
      <w:bookmarkEnd w:id="114"/>
      <w:bookmarkEnd w:id="115"/>
      <w:bookmarkEnd w:id="116"/>
      <w:bookmarkEnd w:id="117"/>
      <w:bookmarkEnd w:id="118"/>
      <w:bookmarkEnd w:id="119"/>
      <w:bookmarkEnd w:id="120"/>
      <w:bookmarkEnd w:id="121"/>
    </w:p>
    <w:p>
      <w:pPr>
        <w:spacing w:line="560" w:lineRule="exact"/>
        <w:ind w:firstLine="642" w:firstLineChars="200"/>
        <w:rPr>
          <w:rFonts w:hint="eastAsia" w:ascii="仿宋_GB2312" w:hAnsi="仿宋" w:eastAsia="仿宋_GB2312" w:cs="仿宋"/>
          <w:sz w:val="32"/>
          <w:szCs w:val="32"/>
        </w:rPr>
      </w:pPr>
      <w:bookmarkStart w:id="122" w:name="_Toc47084092"/>
      <w:r>
        <w:rPr>
          <w:rFonts w:hint="eastAsia" w:ascii="仿宋_GB2312" w:hAnsi="仿宋" w:eastAsia="仿宋_GB2312" w:cs="仿宋"/>
          <w:b/>
          <w:bCs/>
          <w:sz w:val="32"/>
          <w:szCs w:val="32"/>
        </w:rPr>
        <w:t>加大科技创新投入。</w:t>
      </w:r>
      <w:r>
        <w:rPr>
          <w:rFonts w:hint="eastAsia" w:ascii="仿宋_GB2312" w:hAnsi="仿宋" w:eastAsia="仿宋_GB2312" w:cs="仿宋"/>
          <w:sz w:val="32"/>
          <w:szCs w:val="32"/>
        </w:rPr>
        <w:t>坚持创新在县域经济社会发展全局中的核心地位，深入实施创新驱动发展战略。建立以财政投入为引导，企业投入为主体，风险投资为补充，多元化、多渠道、高效率的科研投入体系，形成稳定增长的科技创新投入机制。加大高新技术企业培育力度。完善落实激励企业技术创新的政策措施，推动企业成为技术创新投入、开发和成果应用的主体。</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推进创新与产业协同发展。</w:t>
      </w:r>
      <w:r>
        <w:rPr>
          <w:rFonts w:hint="eastAsia" w:ascii="仿宋_GB2312" w:hAnsi="仿宋" w:eastAsia="仿宋_GB2312" w:cs="仿宋"/>
          <w:sz w:val="32"/>
          <w:szCs w:val="32"/>
        </w:rPr>
        <w:t>实施科技强县行动，坚持对内整合资源、对外扩大合作，走协同创新之路，加快构建全县创新体系。支持与国内外科研院所、高校、高新技术企业加强合作交流，推动产研融合，瞄准绿色建筑、智慧物流、生态农业、先进制造、生物与新医药等前沿领域，实施一批具有前瞻性、战略性的重大科技项目。支持园区和企业积极引入国内外研发团队，重点突破热作物深加工、产业化关键技术，推动加工企业与科研机构形成创新利益共同体，加快技术成果就近就地产业转化，推动园区制度系统集成创新，在产业导入、项目落地、人才服务、管理体制等方面，建立一整套从招商、企业入园登记到产业发展标准化、全链条服务体系，以园区为载体走创新引领的高质量发展道路。</w:t>
      </w:r>
    </w:p>
    <w:p>
      <w:pPr>
        <w:spacing w:before="239" w:beforeLines="50" w:after="239" w:afterLines="50" w:line="560" w:lineRule="exact"/>
        <w:ind w:left="0" w:leftChars="0" w:firstLine="0" w:firstLineChars="0"/>
        <w:jc w:val="center"/>
        <w:outlineLvl w:val="1"/>
        <w:rPr>
          <w:rFonts w:ascii="楷体_GB2312" w:hAnsi="楷体" w:eastAsia="楷体_GB2312" w:cs="楷体"/>
          <w:bCs/>
          <w:sz w:val="32"/>
          <w:szCs w:val="32"/>
        </w:rPr>
      </w:pPr>
      <w:bookmarkStart w:id="123" w:name="_Toc4708"/>
      <w:bookmarkStart w:id="124" w:name="_Toc25321"/>
      <w:bookmarkStart w:id="125" w:name="_Toc14219"/>
      <w:bookmarkStart w:id="126" w:name="_Toc19381"/>
      <w:bookmarkStart w:id="127" w:name="_Toc11831"/>
      <w:r>
        <w:rPr>
          <w:rFonts w:hint="eastAsia" w:ascii="楷体_GB2312" w:hAnsi="楷体" w:eastAsia="楷体_GB2312" w:cs="楷体"/>
          <w:bCs/>
          <w:sz w:val="32"/>
          <w:szCs w:val="32"/>
        </w:rPr>
        <w:t>第四节  优化营商环境，激发市场主体活力</w:t>
      </w:r>
      <w:bookmarkEnd w:id="123"/>
      <w:bookmarkEnd w:id="124"/>
      <w:bookmarkEnd w:id="125"/>
      <w:bookmarkEnd w:id="126"/>
      <w:bookmarkEnd w:id="127"/>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构建公平有序的市场环境。</w:t>
      </w:r>
      <w:r>
        <w:rPr>
          <w:rFonts w:hint="eastAsia" w:ascii="仿宋_GB2312" w:hAnsi="仿宋" w:eastAsia="仿宋_GB2312" w:cs="仿宋"/>
          <w:sz w:val="32"/>
          <w:szCs w:val="32"/>
        </w:rPr>
        <w:t>坚持三级书记抓优化营商环境工作，健全党委领导、各方参与、社会监督的工作机制。持续开展“岗位大练兵”活动，积极构建营商环境评价指标体系，强化评价结果运用。以降低企业经营成本为核心，完善生活、基础设施、产业配套等支撑体系，进一步激发市场主体活力。落实“非禁即入”，全面实施清单管理，清单以外的领域，各类市场主体皆可依法平等准入。健全发展规划、空间规划、产业政策、环保安全等公众决策机制，保障各类市场主体依法平等使用土地使用权等生产要素和公共服务资源。推行“标准地”制度，提高土地节约集约利用率，提高企业项目落地效率。强化竞争政策基础地位，加大反垄断和反不正当竞争执法力度，清理废除与企业性质挂钩的不合理规定，推动包括民营企业在内的各类所有制市场主体享受平等待遇。大力弘扬企业家精神，毫不动摇鼓励、支持、引导非公有制经济健康发展和非公有制经济代表人士健康成长，推动民营企业做大做强。建立健全各类市场主体评价反馈机制，完善容错纠错机制。健全要素市场化交易平台，建立健全贯穿市场主体全生命周期，衔接事前、事中、事后全监管环节的新型监管机制。深化综合执法体制改革，坚持“双随机、一公开”监管重点覆盖，重点监管、信用监管、分类监管为补充，对新技术、新产业、新业态、新模式等实行包容审慎监管。通过数字赋能，建设审批监管执法互动平台。</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建设高效便捷的政务环境。</w:t>
      </w:r>
      <w:r>
        <w:rPr>
          <w:rFonts w:hint="eastAsia" w:ascii="仿宋_GB2312" w:hAnsi="仿宋" w:eastAsia="仿宋_GB2312" w:cs="仿宋"/>
          <w:sz w:val="32"/>
          <w:szCs w:val="32"/>
        </w:rPr>
        <w:t>深化行政审批制度改革，精简行政审批事项，推动“证照分离”全覆盖，消除要素流动壁垒。建立“承诺准入”的涉企经营许可制度，全面推行“极简审批”。深入推进商事登记制度改革和工程建设项目审批制度改革。着力推进实施“一枚印章管审批”“一个窗口管受理”“就近办、网上办、马上办”，落实首问责任、一次性告知、预约服务、帮办代办、当场办结、限时办结等制度。加快推广电子证照、电子印章、电子档案应用。构建“亲”“清”新型政商关系。建立党政领导和企业家常态化沟通联系机制，健全企业家参与涉企政策制定机制。切实帮助企业解决好经营中的实际困难。</w:t>
      </w:r>
    </w:p>
    <w:p>
      <w:pPr>
        <w:spacing w:line="560" w:lineRule="exact"/>
        <w:ind w:firstLine="642" w:firstLineChars="200"/>
        <w:rPr>
          <w:rFonts w:hint="eastAsia"/>
        </w:rPr>
      </w:pPr>
      <w:r>
        <w:rPr>
          <w:rFonts w:hint="eastAsia" w:ascii="仿宋_GB2312" w:hAnsi="仿宋" w:eastAsia="仿宋_GB2312" w:cs="仿宋"/>
          <w:b/>
          <w:bCs/>
          <w:sz w:val="32"/>
          <w:szCs w:val="32"/>
        </w:rPr>
        <w:t>完善产权保护制度。</w:t>
      </w:r>
      <w:r>
        <w:rPr>
          <w:rFonts w:hint="eastAsia" w:ascii="仿宋_GB2312" w:hAnsi="仿宋" w:eastAsia="仿宋_GB2312" w:cs="仿宋"/>
          <w:sz w:val="32"/>
          <w:szCs w:val="32"/>
        </w:rPr>
        <w:t>依法加强对各种所有制经济产权的平等保护，严厉打击侵犯产权的违法行为，建立健全涉政府产权纠纷治理长效机制，保障各类市场主体的合法权益。实施品牌提升工程，加大知识产权侵权行为惩治力度。</w:t>
      </w:r>
    </w:p>
    <w:bookmarkEnd w:id="122"/>
    <w:p>
      <w:pPr>
        <w:pStyle w:val="12"/>
        <w:spacing w:before="239" w:beforeLines="50" w:after="239" w:afterLines="50" w:line="560" w:lineRule="exact"/>
        <w:ind w:left="0" w:leftChars="0" w:firstLine="0" w:firstLineChars="0"/>
        <w:jc w:val="center"/>
        <w:outlineLvl w:val="0"/>
        <w:rPr>
          <w:rFonts w:hint="eastAsia" w:ascii="黑体" w:hAnsi="黑体" w:eastAsia="黑体"/>
          <w:b/>
          <w:color w:val="auto"/>
          <w:sz w:val="32"/>
          <w:szCs w:val="32"/>
        </w:rPr>
      </w:pPr>
      <w:bookmarkStart w:id="128" w:name="_Toc15290"/>
      <w:bookmarkStart w:id="129" w:name="_Toc54189160"/>
      <w:bookmarkStart w:id="130" w:name="_Toc54189186"/>
      <w:bookmarkStart w:id="131" w:name="_Toc7618"/>
      <w:bookmarkStart w:id="132" w:name="_Toc1008"/>
      <w:bookmarkStart w:id="133" w:name="_Toc32092"/>
      <w:bookmarkStart w:id="134" w:name="_Toc22848"/>
      <w:bookmarkStart w:id="135" w:name="_Toc23977"/>
      <w:bookmarkStart w:id="136" w:name="_Toc28750"/>
      <w:bookmarkStart w:id="137" w:name="_Toc1283"/>
      <w:bookmarkStart w:id="138" w:name="_Toc12611"/>
      <w:bookmarkStart w:id="139" w:name="_Toc19946"/>
      <w:bookmarkStart w:id="140" w:name="_Toc30663"/>
      <w:r>
        <w:rPr>
          <w:rFonts w:hint="eastAsia" w:ascii="黑体" w:hAnsi="黑体" w:eastAsia="黑体"/>
          <w:bCs/>
          <w:color w:val="auto"/>
          <w:sz w:val="32"/>
          <w:szCs w:val="32"/>
        </w:rPr>
        <w:t>第四章  全面融入“海澄文定”综合经济圈，加快区域协同发展</w:t>
      </w:r>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560" w:lineRule="exact"/>
        <w:ind w:firstLine="640" w:firstLineChars="200"/>
        <w:rPr>
          <w:rFonts w:hint="eastAsia" w:ascii="仿宋_GB2312" w:hAnsi="仿宋" w:eastAsia="仿宋_GB2312" w:cs="仿宋"/>
          <w:sz w:val="32"/>
          <w:szCs w:val="32"/>
        </w:rPr>
      </w:pPr>
      <w:bookmarkStart w:id="141" w:name="_Toc24517"/>
      <w:bookmarkStart w:id="142" w:name="_Toc54189187"/>
      <w:bookmarkStart w:id="143" w:name="_Toc6745"/>
      <w:bookmarkStart w:id="144" w:name="_Toc5389"/>
      <w:r>
        <w:rPr>
          <w:rFonts w:hint="eastAsia" w:ascii="仿宋_GB2312" w:hAnsi="仿宋" w:eastAsia="仿宋_GB2312" w:cs="仿宋"/>
          <w:sz w:val="32"/>
          <w:szCs w:val="32"/>
        </w:rPr>
        <w:t>抓住定安纳入“海澄文定”一体化发展重要机遇，“北融东联”，加强与“海澄文定”综合经济圈内市县及琼海、万宁、屯昌等周边市县的通道对接、产业对接、平台对接、市场对接，实现定位互补、错位发展、协同发展。</w:t>
      </w:r>
    </w:p>
    <w:p>
      <w:pPr>
        <w:spacing w:before="239" w:beforeLines="50" w:after="239" w:afterLines="50" w:line="560" w:lineRule="exact"/>
        <w:ind w:left="0" w:leftChars="0" w:firstLine="0" w:firstLineChars="0"/>
        <w:jc w:val="center"/>
        <w:outlineLvl w:val="1"/>
        <w:rPr>
          <w:rFonts w:hint="eastAsia" w:ascii="楷体_GB2312" w:hAnsi="仿宋" w:eastAsia="楷体_GB2312" w:cs="仿宋"/>
          <w:bCs/>
          <w:sz w:val="32"/>
          <w:szCs w:val="32"/>
        </w:rPr>
      </w:pPr>
      <w:bookmarkStart w:id="145" w:name="_Toc10915"/>
      <w:bookmarkStart w:id="146" w:name="_Toc29280"/>
      <w:bookmarkStart w:id="147" w:name="_Toc23081"/>
      <w:bookmarkStart w:id="148" w:name="_Toc28894"/>
      <w:bookmarkStart w:id="149" w:name="_Toc4877"/>
      <w:r>
        <w:rPr>
          <w:rFonts w:hint="eastAsia" w:ascii="楷体_GB2312" w:hAnsi="楷体" w:eastAsia="楷体_GB2312" w:cs="楷体"/>
          <w:bCs/>
          <w:sz w:val="32"/>
          <w:szCs w:val="32"/>
        </w:rPr>
        <w:t xml:space="preserve">第一节  </w:t>
      </w:r>
      <w:bookmarkEnd w:id="141"/>
      <w:bookmarkEnd w:id="142"/>
      <w:bookmarkEnd w:id="143"/>
      <w:bookmarkEnd w:id="144"/>
      <w:r>
        <w:rPr>
          <w:rFonts w:hint="eastAsia" w:ascii="楷体_GB2312" w:hAnsi="楷体" w:eastAsia="楷体_GB2312" w:cs="楷体"/>
          <w:bCs/>
          <w:sz w:val="32"/>
          <w:szCs w:val="32"/>
        </w:rPr>
        <w:t>全面融入“海澄文定”</w:t>
      </w:r>
      <w:bookmarkEnd w:id="145"/>
      <w:bookmarkEnd w:id="146"/>
      <w:r>
        <w:rPr>
          <w:rFonts w:hint="eastAsia" w:ascii="楷体_GB2312" w:hAnsi="楷体" w:eastAsia="楷体_GB2312" w:cs="楷体"/>
          <w:bCs/>
          <w:sz w:val="32"/>
          <w:szCs w:val="32"/>
        </w:rPr>
        <w:t>综合经济圈</w:t>
      </w:r>
      <w:bookmarkEnd w:id="147"/>
      <w:bookmarkEnd w:id="148"/>
      <w:bookmarkEnd w:id="149"/>
    </w:p>
    <w:p>
      <w:pPr>
        <w:spacing w:line="560" w:lineRule="exact"/>
        <w:ind w:firstLine="640" w:firstLineChars="200"/>
        <w:rPr>
          <w:rFonts w:hint="eastAsia" w:ascii="仿宋_GB2312" w:hAnsi="仿宋" w:eastAsia="仿宋_GB2312" w:cs="仿宋"/>
          <w:sz w:val="32"/>
          <w:szCs w:val="32"/>
        </w:rPr>
      </w:pPr>
      <w:bookmarkStart w:id="150" w:name="_Toc28378"/>
      <w:r>
        <w:rPr>
          <w:rFonts w:hint="eastAsia" w:ascii="仿宋_GB2312" w:hAnsi="仿宋" w:eastAsia="仿宋_GB2312" w:cs="仿宋"/>
          <w:sz w:val="32"/>
          <w:szCs w:val="32"/>
        </w:rPr>
        <w:t>加强“海澄文定”人流、物流、信息流、资金流等联系，以实现快捷、安全、高效为目标，积极推进“海澄文定”交通同城，设施一体，产业协同，市场和体制机制共建。</w:t>
      </w:r>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交通同城、设施一体建设。</w:t>
      </w:r>
      <w:bookmarkEnd w:id="150"/>
      <w:r>
        <w:rPr>
          <w:rFonts w:hint="eastAsia" w:ascii="仿宋_GB2312" w:hAnsi="仿宋" w:eastAsia="仿宋_GB2312" w:cs="仿宋"/>
          <w:sz w:val="32"/>
          <w:szCs w:val="32"/>
        </w:rPr>
        <w:t>加快推进以海南中线高铁定安段、“海澄文定”城际轨道交通、海口羊山大道至定安母瑞山快速干道、文临高速为支撑的同城化交通骨架网建设，构建覆盖海口、文昌和澄迈的“半小时经济圈”。促进开通“海澄文定”相邻区、镇、街之间的公交线路，满足“海澄文定”的公交出行需求。强化与海口站、海口东站、美兰机场等客运枢纽站场间的衔接。畅通洋浦港、海口港、清澜港、金牌港交通联络。做好其他基础设施对接，以同城化标准加强“五网”基础设施互联互通，重点推进重大环保基础设施、区域一体化供水、区域统筹污水、垃圾处理设施建设，实现区域电、气、光、水网等的共建共享。推进人力资源一体化，统筹土地资源供给方式。</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产业协同发展。</w:t>
      </w:r>
      <w:r>
        <w:rPr>
          <w:rFonts w:hint="eastAsia" w:ascii="仿宋_GB2312" w:hAnsi="仿宋" w:eastAsia="仿宋_GB2312" w:cs="仿宋"/>
          <w:sz w:val="32"/>
          <w:szCs w:val="32"/>
        </w:rPr>
        <w:t>积极参与推动形成有序竞争和紧密的空间联系衔接，建立和完善区域合作制度，推进区域融合发展。进一步优化产业布局，立足农副食品加工、绿色建材、生物医药等产业基础，紧抓自贸港建设带来的工业、基建、进口加工的新兴产业发展机遇，重点从新型食品、生物与新医药、绿色建筑与新材料等产业领域发力，通过做强存量产业、做精增量产业，加快形成产业集聚，积极加强定安县与三地的联系，充分发挥定安的区位优势、资源优势、产业优势，与三地产业差异化发展，提升与三地的产业承接能力和产业链互补性，形成区域经济的联动效应，促进区域协同发展。</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市场和管理体制机制共建。</w:t>
      </w:r>
      <w:r>
        <w:rPr>
          <w:rFonts w:hint="eastAsia" w:ascii="仿宋_GB2312" w:hAnsi="仿宋" w:eastAsia="仿宋_GB2312" w:cs="仿宋"/>
          <w:sz w:val="32"/>
          <w:szCs w:val="32"/>
        </w:rPr>
        <w:t>积极参与推动建立“海澄文定”综合经济圈标准化一体化合作机制，市场主体基本信息贯通共享、企业开办异地一网通办，打造智慧监管网。通过互联网平台实施政企数据交互，完成重点监控和数据分析，持续优化营商环境。以定安“五纵一横”的交通网为基础，建立一套高效、协调、智慧的现代商贸物流服务体系，充分连接商业活动中生产、贸易、电商、金融、物流等企业和终端客户，形成完善的城市配送、城际配送、农村配送相互贯通的商贸物流网络。建立新的协作机制，加强与海口、澄迈、文昌的深度合作。积极参与推动成立“海澄文定”一体化发展基金，通过基金支持区域一体化公共基础设施项目建设，实现资源共享与优势互补。</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151" w:name="_Toc20082"/>
      <w:bookmarkStart w:id="152" w:name="_Toc17753"/>
      <w:bookmarkStart w:id="153" w:name="_Toc54189188"/>
      <w:bookmarkStart w:id="154" w:name="_Toc11963"/>
      <w:bookmarkStart w:id="155" w:name="_Toc16445"/>
      <w:bookmarkStart w:id="156" w:name="_Toc32050"/>
      <w:bookmarkStart w:id="157" w:name="_Toc31412"/>
      <w:bookmarkStart w:id="158" w:name="_Toc30273"/>
      <w:bookmarkStart w:id="159" w:name="_Toc27775"/>
      <w:r>
        <w:rPr>
          <w:rFonts w:hint="eastAsia" w:ascii="楷体_GB2312" w:hAnsi="楷体" w:eastAsia="楷体_GB2312" w:cs="楷体"/>
          <w:bCs/>
          <w:sz w:val="32"/>
          <w:szCs w:val="32"/>
        </w:rPr>
        <w:t>第二节  联动海南东部区域组团</w:t>
      </w:r>
      <w:bookmarkEnd w:id="151"/>
      <w:bookmarkEnd w:id="152"/>
      <w:bookmarkEnd w:id="153"/>
      <w:bookmarkEnd w:id="154"/>
      <w:bookmarkEnd w:id="155"/>
      <w:bookmarkEnd w:id="156"/>
      <w:bookmarkEnd w:id="157"/>
      <w:bookmarkEnd w:id="158"/>
      <w:bookmarkEnd w:id="159"/>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中轴线外向联动。</w:t>
      </w:r>
      <w:r>
        <w:rPr>
          <w:rFonts w:hint="eastAsia" w:ascii="仿宋_GB2312" w:hAnsi="仿宋" w:eastAsia="仿宋_GB2312" w:cs="仿宋"/>
          <w:sz w:val="32"/>
          <w:szCs w:val="32"/>
        </w:rPr>
        <w:t>将规划建设的海口羊山大道至定安母瑞山快速干道打造为县域产业和经济主轴线，强化县城对南部区域的辐射带动和吸引力，转南部乡镇经济外流为内引，促进定安与琼海、万宁、屯昌的联通互动。</w:t>
      </w:r>
    </w:p>
    <w:p>
      <w:pPr>
        <w:spacing w:line="560" w:lineRule="exact"/>
        <w:ind w:left="0" w:leftChars="0" w:firstLine="0" w:firstLineChars="0"/>
        <w:rPr>
          <w:rFonts w:hint="eastAsia" w:ascii="仿宋_GB2312" w:hAnsi="仿宋" w:eastAsia="仿宋_GB2312" w:cs="仿宋"/>
          <w:sz w:val="32"/>
          <w:szCs w:val="32"/>
        </w:rPr>
      </w:pPr>
      <w:r>
        <w:rPr>
          <w:rFonts w:hint="eastAsia" w:ascii="仿宋_GB2312" w:hAnsi="仿宋" w:eastAsia="仿宋_GB2312" w:cs="仿宋"/>
          <w:b/>
          <w:bCs/>
          <w:sz w:val="32"/>
          <w:szCs w:val="32"/>
        </w:rPr>
        <w:t>产业协同发展。</w:t>
      </w:r>
      <w:r>
        <w:rPr>
          <w:rFonts w:hint="eastAsia" w:ascii="仿宋_GB2312" w:hAnsi="仿宋" w:eastAsia="仿宋_GB2312" w:cs="仿宋"/>
          <w:sz w:val="32"/>
          <w:szCs w:val="32"/>
        </w:rPr>
        <w:t>立足定安区位和资源禀赋，加强与琼海、万宁、屯昌产业互动。与琼海产业协同上，重点聚焦健康服务前端健康管理、健康养生、商务会议会展等，实现与琼海的产业分工和合作；与琼海资源整合上，定安以都市农业为特色与琼海共同推动田园城市建设，围绕两市县红色旅游资源，共建旅游线路，协同开发红色旅游。与万宁产业协同上，探索与万宁联动发展壮大槟榔加工产业，差异化打造环湖体育运动。屯昌同处中部内陆，为现代农业产城组团，加强联</w:t>
      </w:r>
      <w:r>
        <w:rPr>
          <w:rFonts w:hint="eastAsia" w:ascii="仿宋_GB2312" w:hAnsi="仿宋" w:eastAsia="仿宋_GB2312" w:cs="仿宋"/>
          <w:sz w:val="32"/>
          <w:szCs w:val="32"/>
          <w:lang w:eastAsia="zh-CN"/>
        </w:rPr>
        <w:t>动，</w:t>
      </w:r>
      <w:r>
        <w:rPr>
          <w:rFonts w:hint="eastAsia" w:ascii="仿宋_GB2312" w:hAnsi="仿宋" w:eastAsia="仿宋_GB2312" w:cs="仿宋"/>
          <w:sz w:val="32"/>
          <w:szCs w:val="32"/>
        </w:rPr>
        <w:t>建设农产品精深加工的原料腹地，在推进农业现代化和农旅融合发展过程中建立合作机制，推动市场共建，设施共享。探索推动建立四市县合作常态化交流机制，在红色旅游资源开发、农产品精深加工等领域建立常态化合作，支持和鼓励区域民间交流和合作，畅通人流、物流、信息流、资金流渠道。</w:t>
      </w:r>
    </w:p>
    <w:p>
      <w:pPr>
        <w:pStyle w:val="12"/>
        <w:spacing w:before="239" w:beforeLines="50" w:after="239" w:afterLines="50" w:line="560" w:lineRule="exact"/>
        <w:ind w:left="0" w:leftChars="0" w:firstLine="0" w:firstLineChars="0"/>
        <w:jc w:val="center"/>
        <w:outlineLvl w:val="0"/>
        <w:rPr>
          <w:rFonts w:hint="eastAsia" w:ascii="黑体" w:hAnsi="黑体" w:eastAsia="黑体"/>
          <w:b/>
          <w:color w:val="auto"/>
          <w:sz w:val="32"/>
          <w:szCs w:val="32"/>
        </w:rPr>
      </w:pPr>
      <w:bookmarkStart w:id="160" w:name="_Toc3096"/>
      <w:bookmarkStart w:id="161" w:name="_Toc15157"/>
      <w:bookmarkStart w:id="162" w:name="_Toc21849"/>
      <w:bookmarkStart w:id="163" w:name="_Toc23357"/>
      <w:bookmarkStart w:id="164" w:name="_Toc8699"/>
      <w:bookmarkStart w:id="165" w:name="_Toc30417"/>
      <w:r>
        <w:rPr>
          <w:rFonts w:hint="eastAsia" w:ascii="黑体" w:hAnsi="黑体" w:eastAsia="黑体"/>
          <w:bCs/>
          <w:color w:val="auto"/>
          <w:sz w:val="32"/>
          <w:szCs w:val="32"/>
        </w:rPr>
        <w:t>第五章  全面推进乡村振兴，促进城乡融合发展</w:t>
      </w:r>
      <w:bookmarkEnd w:id="160"/>
      <w:bookmarkEnd w:id="161"/>
      <w:bookmarkEnd w:id="162"/>
      <w:bookmarkEnd w:id="163"/>
      <w:bookmarkEnd w:id="164"/>
      <w:bookmarkEnd w:id="165"/>
    </w:p>
    <w:p>
      <w:pPr>
        <w:ind w:left="0" w:leftChars="0" w:firstLine="0" w:firstLineChars="0"/>
        <w:rPr>
          <w:rFonts w:hint="eastAsia" w:ascii="仿宋_GB2312" w:hAnsi="仿宋" w:eastAsia="仿宋_GB2312" w:cs="仿宋"/>
          <w:sz w:val="32"/>
          <w:szCs w:val="32"/>
        </w:rPr>
      </w:pPr>
      <w:r>
        <w:rPr>
          <w:rFonts w:hint="eastAsia" w:ascii="仿宋_GB2312" w:hAnsi="仿宋" w:eastAsia="仿宋_GB2312" w:cs="仿宋"/>
          <w:sz w:val="32"/>
          <w:szCs w:val="32"/>
        </w:rPr>
        <w:t>以实施乡村振兴战略为总抓手，乡村振兴和新型城镇化战略同步推进，推动城乡要素自由流动和平等交换，推动城镇化和农业现代化同步发展，促进乡村振兴战略高质量实施，促进城乡融合高水平推进。</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166" w:name="_Toc14999"/>
      <w:bookmarkStart w:id="167" w:name="_Toc18714"/>
      <w:bookmarkStart w:id="168" w:name="_Toc24013"/>
      <w:bookmarkStart w:id="169" w:name="_Toc24046"/>
      <w:bookmarkStart w:id="170" w:name="_Toc8335"/>
      <w:bookmarkStart w:id="171" w:name="_Toc9331"/>
      <w:r>
        <w:rPr>
          <w:rFonts w:hint="eastAsia" w:ascii="楷体_GB2312" w:hAnsi="楷体" w:eastAsia="楷体_GB2312" w:cs="楷体"/>
          <w:bCs/>
          <w:sz w:val="32"/>
          <w:szCs w:val="32"/>
        </w:rPr>
        <w:t>第一节  全面推进乡村振兴</w:t>
      </w:r>
      <w:bookmarkEnd w:id="166"/>
      <w:bookmarkEnd w:id="167"/>
      <w:bookmarkEnd w:id="168"/>
      <w:bookmarkEnd w:id="169"/>
      <w:bookmarkEnd w:id="170"/>
      <w:bookmarkEnd w:id="171"/>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构建乡村振兴发展新格局。</w:t>
      </w:r>
      <w:r>
        <w:rPr>
          <w:rFonts w:hint="eastAsia" w:ascii="仿宋_GB2312" w:hAnsi="仿宋" w:eastAsia="仿宋_GB2312" w:cs="仿宋"/>
          <w:sz w:val="32"/>
          <w:szCs w:val="32"/>
        </w:rPr>
        <w:t>按照“产业兴旺、生态宜居、乡风文明、治理有效、生活富裕”要求，统筹城乡国土空间开发格局，统筹安排农、林、牧、副、渔等农业发展空间，优化乡村生产生活生态空间，对108个行政村按照集聚提升类、城郊融合类、特色保护类、基础整治类、搬迁撤并类五大类，合理规划建设村庄，分类分批推进乡村振兴，探索乡村振兴示范组团发展模式。积极推进一批乡村振兴示范点建设。</w:t>
      </w:r>
    </w:p>
    <w:p>
      <w:pPr>
        <w:spacing w:line="560" w:lineRule="exact"/>
        <w:ind w:firstLine="642" w:firstLineChars="200"/>
        <w:rPr>
          <w:rFonts w:hint="eastAsia" w:ascii="仿宋_GB2312" w:hAnsi="仿宋_GB2312" w:eastAsia="仿宋_GB2312" w:cs="仿宋_GB2312"/>
          <w:spacing w:val="8"/>
          <w:sz w:val="32"/>
          <w:szCs w:val="32"/>
          <w:shd w:val="clear" w:color="auto" w:fill="FFFFFF"/>
        </w:rPr>
      </w:pPr>
      <w:r>
        <w:rPr>
          <w:rFonts w:hint="eastAsia" w:ascii="仿宋_GB2312" w:hAnsi="仿宋" w:eastAsia="仿宋_GB2312" w:cs="仿宋"/>
          <w:b/>
          <w:bCs/>
          <w:sz w:val="32"/>
          <w:szCs w:val="32"/>
        </w:rPr>
        <w:t>加快农业和农村现代化步伐。</w:t>
      </w:r>
      <w:r>
        <w:rPr>
          <w:rFonts w:hint="eastAsia" w:ascii="仿宋_GB2312" w:hAnsi="仿宋" w:eastAsia="仿宋_GB2312" w:cs="仿宋"/>
          <w:sz w:val="32"/>
          <w:szCs w:val="32"/>
        </w:rPr>
        <w:t>坚持质量兴农、品牌兴农，深化农业供给侧结构性改革，构建现代农业产业体系、生产体系、经营体系，培育农业龙头产业，加快推进农旅融合，推动农业发展质量变革、效率变革、动力变革，持续提高农业创新力、竞争力和全要素生产率。按照“一强、三不、两就”要求，统筹制定全县村庄和居民点现代化、产业化、旅游化改造提升计划，确保农村和垦区发展与“三区一轴多点”建设同步推进。</w:t>
      </w:r>
      <w:r>
        <w:rPr>
          <w:rFonts w:hint="eastAsia" w:ascii="仿宋_GB2312" w:hAnsi="仿宋_GB2312" w:eastAsia="仿宋_GB2312" w:cs="仿宋_GB2312"/>
          <w:spacing w:val="8"/>
          <w:sz w:val="32"/>
          <w:szCs w:val="32"/>
          <w:shd w:val="clear" w:color="auto" w:fill="FFFFFF"/>
        </w:rPr>
        <w:t>挖掘村庄特色文化底蕴，通过打造一批试点村庄，以点带面推动乡村振兴工作全面开展，引领全域乡村旅游带动民宿、房车发展。充分盘活农垦优势土地资源，提升农垦资本运作能力，推动农垦积极融入乡村振兴。</w:t>
      </w:r>
    </w:p>
    <w:p>
      <w:pPr>
        <w:pStyle w:val="11"/>
        <w:spacing w:line="560" w:lineRule="exact"/>
        <w:ind w:firstLine="631"/>
        <w:rPr>
          <w:rFonts w:hint="eastAsia"/>
        </w:rPr>
      </w:pPr>
      <w:r>
        <w:rPr>
          <w:rFonts w:hint="eastAsia" w:ascii="仿宋_GB2312" w:hAnsi="仿宋" w:eastAsia="仿宋_GB2312" w:cs="仿宋"/>
          <w:b/>
          <w:bCs/>
          <w:sz w:val="32"/>
          <w:szCs w:val="32"/>
        </w:rPr>
        <w:t>大力推进乡村振兴战略实施，在巩固脱贫攻坚成果基础上做好衔接。</w:t>
      </w:r>
      <w:r>
        <w:rPr>
          <w:rFonts w:hint="eastAsia" w:ascii="仿宋_GB2312" w:hAnsi="仿宋" w:eastAsia="仿宋_GB2312" w:cs="仿宋"/>
          <w:sz w:val="32"/>
          <w:szCs w:val="32"/>
        </w:rPr>
        <w:t>延续并优化调整脱贫政策，同步推进脱贫成果的巩固和相对贫困问题的解决，推进全面脱贫与乡村振兴的有效衔接。明确建立帮扶过渡期，完善优化过渡期内帮扶政策。支持现行帮扶政策举措、资金支持力度、帮扶工作力量与乡村振兴政策梯次衔接。积极构建解决相对贫困帮扶机制，实现超常规举措向常态化帮扶转变。多措并举，激发相对贫困人口内生动力。统筹衔接农村社会保障和救助制度。建立返贫监测机制，加强产业扶贫提质增效，发展特色产业，推动发展一村一品、一镇一业，激发农村发展活力。因地制宜安排产业扶持、就业帮扶、扶志扶智、社会帮扶、综合保障、金融帮扶、消费帮扶等方式，做好脱贫不稳定人口、边缘人口等监测，采取有针对性的措施，确保无一人返贫或致贫。</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提升“美丽海南百镇千村”建设水平。</w:t>
      </w:r>
      <w:r>
        <w:rPr>
          <w:rFonts w:hint="eastAsia" w:ascii="仿宋_GB2312" w:hAnsi="仿宋" w:eastAsia="仿宋_GB2312" w:cs="仿宋"/>
          <w:sz w:val="32"/>
          <w:szCs w:val="32"/>
        </w:rPr>
        <w:t>加大各行业各部门资金整合力度，促进镇区建设，补齐小镇基础设施、公共服务、生态环境短板，完善小镇功能。挖掘最有基础、最具潜力、最能成长的特色产业，促其形成并集聚发展，突出“景观化”“旅游化”“人文化”的城市风貌特色，力求形成“一镇一风貌、一镇一特色”的差异化发展格局，重点打造黄竹、翰林、新序等特色产业小镇。加快推进美丽乡村建设，到2025年，基本建成一批特色鲜明、功能齐全、设施完善的美丽乡村，使其成为人居环境适宜、低碳经济发达、生态环境优美、文化魅力独特、社会文明祥和的社会主义美丽乡村。保护自然田园乡村风貌。规范民房报建，引导民房建筑风貌；探索农房装配式建筑，开展田园建筑示范，特别是保护特色优秀乡村历史文化遗存；培育乡村传统建筑名匠。全面保护古树名木，因地制宜积极建设乡村公园。</w:t>
      </w:r>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补齐基础设施和公共服务短板。</w:t>
      </w:r>
      <w:r>
        <w:rPr>
          <w:rFonts w:hint="eastAsia" w:ascii="仿宋_GB2312" w:hAnsi="仿宋" w:eastAsia="仿宋_GB2312" w:cs="仿宋"/>
          <w:sz w:val="32"/>
          <w:szCs w:val="32"/>
        </w:rPr>
        <w:t>进一步重视乡村“五网”基础设施建设专项规划编制和实施，继续把基础设施建设的重点放在农村，推动城乡基础设施互联互通。加快推进美丽农村路建设，扎实推动“四好农村路”高质量发展，强化村内道路、农村公路与干线公路的有效衔接，更好服务农村群众安全便捷出行。加快实施通村组(自然村)硬化路建设。实施“数字乡村战略”，做好整体规划设计，加快农村地区宽带网络和移动通信网络覆盖步伐，开发适应“三农”特点的信息技术、产品、应用和服务，推动远程医疗、远程教育等应用普及。解决农村供电低电压、重过载问题，推进农村可再生能源开发利用。加快实施农村饮水安全巩固提升工程。提升气象为农服务能力。实现教育、医疗、文化、就业等基本公共服务全覆盖，缩小城乡公共服务差距。加强农村防灾减灾救灾能力建设，对生态环境敏感区域、潜在地质灾害区域居民点实施易地搬迁。进一步改善乡镇干部工作生活环境。</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建设乡风文明的新农村。</w:t>
      </w:r>
      <w:r>
        <w:rPr>
          <w:rFonts w:hint="eastAsia" w:ascii="仿宋_GB2312" w:hAnsi="仿宋" w:eastAsia="仿宋_GB2312" w:cs="仿宋"/>
          <w:sz w:val="32"/>
          <w:szCs w:val="32"/>
        </w:rPr>
        <w:t>提升农村优秀传统文化影响力。划定乡村建设的历史文化保护线，保护好文物古迹、传统村落、传统建筑、农业遗迹，支持琼剧文化、民间文化等传承发展，弘扬本土优秀历史文化。完善乡村文化基础设施。持续开展乡村文明文化活动。</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大力培育新型职业农民。</w:t>
      </w:r>
      <w:r>
        <w:rPr>
          <w:rFonts w:hint="eastAsia" w:ascii="仿宋_GB2312" w:hAnsi="仿宋" w:eastAsia="仿宋_GB2312" w:cs="仿宋"/>
          <w:sz w:val="32"/>
          <w:szCs w:val="32"/>
        </w:rPr>
        <w:t>全面建立职业农民制度，完善配套政策体系。实施新型职业农民培育工程，支持新型职业农民通过弹性学制参加中高等农业职业教育，继续办好“农民中专班”。创新培训机制，支持农民专业合作社、专业技术协会、龙头企业等主体承担培训。</w:t>
      </w:r>
    </w:p>
    <w:p>
      <w:pPr>
        <w:widowControl/>
        <w:spacing w:line="560" w:lineRule="exact"/>
        <w:ind w:firstLine="643"/>
        <w:rPr>
          <w:rFonts w:hint="eastAsia" w:ascii="仿宋_GB2312" w:hAnsi="仿宋" w:eastAsia="仿宋_GB2312" w:cs="仿宋"/>
          <w:sz w:val="32"/>
          <w:szCs w:val="32"/>
        </w:rPr>
      </w:pPr>
      <w:r>
        <w:rPr>
          <w:rFonts w:hint="eastAsia" w:ascii="仿宋_GB2312" w:hAnsi="仿宋" w:eastAsia="仿宋_GB2312" w:cs="仿宋"/>
          <w:b/>
          <w:bCs/>
          <w:sz w:val="32"/>
          <w:szCs w:val="32"/>
        </w:rPr>
        <w:t>优化农业经营机制。</w:t>
      </w:r>
      <w:r>
        <w:rPr>
          <w:rFonts w:hint="eastAsia" w:ascii="仿宋_GB2312" w:hAnsi="仿宋" w:eastAsia="仿宋_GB2312" w:cs="仿宋"/>
          <w:sz w:val="32"/>
          <w:szCs w:val="32"/>
        </w:rPr>
        <w:t>积极推进多样化的土地流转方式，鼓励整组整村连片流转，保持土地流转的长期性与稳定性。对流转形成的大片土地进行统一规划布局，按照产业发展需求进行土地整理和基础设施建设，形成“农+旅+文”融合发展格局。大力培育专业大户、家庭农场，提高先进技术在农业中的应用，提升农业生产的集约化水平和效率。加大农业合作社的支持力度，发挥其拓宽农业领域，强化服务农民的作用。通过“农业龙头企业+基地+新农户”等模式，促进农企良性互动。加快原料生产、加工物流、市场营销等一体化发展，形成利益联结紧密、产加销嵌套协作的新型产业化经营机制，打造现代农业发展共同体。</w:t>
      </w:r>
    </w:p>
    <w:p>
      <w:pPr>
        <w:spacing w:line="560" w:lineRule="exact"/>
        <w:ind w:firstLine="643"/>
        <w:rPr>
          <w:rFonts w:hint="eastAsia" w:ascii="仿宋_GB2312" w:hAnsi="仿宋" w:eastAsia="仿宋_GB2312" w:cs="仿宋"/>
          <w:sz w:val="32"/>
          <w:szCs w:val="32"/>
        </w:rPr>
      </w:pPr>
      <w:r>
        <w:rPr>
          <w:rFonts w:hint="eastAsia" w:ascii="仿宋_GB2312" w:hAnsi="仿宋" w:eastAsia="仿宋_GB2312" w:cs="仿宋"/>
          <w:b/>
          <w:bCs/>
          <w:sz w:val="32"/>
          <w:szCs w:val="32"/>
        </w:rPr>
        <w:t>发展农业社会化服务。</w:t>
      </w:r>
      <w:r>
        <w:rPr>
          <w:rFonts w:hint="eastAsia" w:ascii="仿宋_GB2312" w:hAnsi="仿宋" w:eastAsia="仿宋_GB2312" w:cs="仿宋"/>
          <w:sz w:val="32"/>
          <w:szCs w:val="32"/>
        </w:rPr>
        <w:t>构建新型农业专业化社会化服务体系。将互联网、数字化技术等现代生产要素引入农业社会服务中，精准推进农业生产合作、农户企业合作、信用合作“三位一体”的农民合作与联合服务。建立服务农业产业发展的“全能型”组织和专业型组织，针对农户迫切需要帮助的环节进行服务。</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加强农村专业人才队伍建设。</w:t>
      </w:r>
      <w:r>
        <w:rPr>
          <w:rFonts w:hint="eastAsia" w:ascii="仿宋_GB2312" w:hAnsi="仿宋" w:eastAsia="仿宋_GB2312" w:cs="仿宋"/>
          <w:sz w:val="32"/>
          <w:szCs w:val="32"/>
        </w:rPr>
        <w:t>组织实施高校毕业生基层成长计划，引导和鼓励高校毕业生到基层工作。联合地方高等学校、职业院校综合利用教育培训资源，创新人才培养模式，为乡村振兴培养专业化人才。扶持培养一批农业职业经理人、经纪人、乡村工匠、文化能人、非遗传承人等。</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鼓励社会各界投身乡村建设。</w:t>
      </w:r>
      <w:r>
        <w:rPr>
          <w:rFonts w:hint="eastAsia" w:ascii="仿宋_GB2312" w:hAnsi="仿宋" w:eastAsia="仿宋_GB2312" w:cs="仿宋"/>
          <w:sz w:val="32"/>
          <w:szCs w:val="32"/>
        </w:rPr>
        <w:t>建立有效激励机制，以乡情乡愁为纽带，支持社会各界人士通过担任志愿者、投资兴业、专业服务、捐赠物资等多样化方式服务乡村振兴事业。吸引更多人才投身现代农业和新农村发展，培育造就新农民。</w:t>
      </w:r>
    </w:p>
    <w:p>
      <w:pPr>
        <w:pStyle w:val="11"/>
        <w:spacing w:line="560" w:lineRule="exact"/>
        <w:ind w:firstLine="631"/>
        <w:rPr>
          <w:rFonts w:ascii="仿宋_GB2312" w:hAnsi="仿宋" w:eastAsia="仿宋_GB2312" w:cs="仿宋"/>
          <w:sz w:val="32"/>
          <w:szCs w:val="32"/>
        </w:rPr>
      </w:pPr>
      <w:r>
        <w:rPr>
          <w:rFonts w:hint="eastAsia" w:ascii="仿宋_GB2312" w:hAnsi="仿宋" w:eastAsia="仿宋_GB2312" w:cs="仿宋"/>
          <w:b/>
          <w:bCs/>
          <w:sz w:val="32"/>
          <w:szCs w:val="32"/>
        </w:rPr>
        <w:t>强化基层党组织战斗堡垒作用。</w:t>
      </w:r>
      <w:r>
        <w:rPr>
          <w:rFonts w:hint="eastAsia" w:ascii="仿宋_GB2312" w:hAnsi="仿宋" w:eastAsia="仿宋_GB2312" w:cs="仿宋"/>
          <w:sz w:val="32"/>
          <w:szCs w:val="32"/>
        </w:rPr>
        <w:t>全面推进基层党组织规范化和标准化建设，充分发挥党支部在脱贫攻坚、乡村振兴中的战斗堡垒作用。继续强化便民服务站平台建设，探索实行村“两委”干部专职坐班制，实现服务常态化。发展壮大村集体经济，开展党建带富工程。着力推进法治乡村建设。</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ascii="仿宋_GB2312" w:hAnsi="仿宋_GB2312" w:eastAsia="仿宋_GB2312" w:cs="楷体"/>
                <w:sz w:val="24"/>
              </w:rPr>
            </w:pPr>
            <w:r>
              <w:rPr>
                <w:rFonts w:hint="eastAsia" w:ascii="仿宋_GB2312" w:hAnsi="仿宋_GB2312" w:eastAsia="仿宋_GB2312" w:cs="楷体"/>
                <w:sz w:val="24"/>
              </w:rPr>
              <w:t>专栏1：乡村振兴重点工程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定城镇巡崖、仙屯、高龙和洁秀村乡村振兴建设项目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富文镇大里村乡村振兴建设项目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岭口镇岭口、岭腰和封浩村乡村振兴建设项目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龙河镇水竹、天池和菉林村乡村振兴建设项目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新竹镇白堆和卜效村乡村振兴建设项目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雷鸣镇北斗和同仁村乡村振兴建设项目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黄竹镇南金农场、白塘村和河头村乡村振兴建设项目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龙门镇久温塘、龙拔塘和红花岭村乡村振兴建设项目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翰林镇章塘村、火星村和中瑞居乡村振兴建设项目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龙湖镇正统和安仁村乡村振兴建设项目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改善乡镇干部工作生活环境工程</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村委会办公场地建设项目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农村基层党建示范点项目</w:t>
            </w:r>
          </w:p>
          <w:p>
            <w:pPr>
              <w:numPr>
                <w:ilvl w:val="0"/>
                <w:numId w:val="1"/>
              </w:numPr>
              <w:rPr>
                <w:rFonts w:hint="eastAsia" w:ascii="仿宋_GB2312" w:hAnsi="仿宋_GB2312" w:eastAsia="仿宋_GB2312" w:cs="楷体"/>
                <w:sz w:val="24"/>
              </w:rPr>
            </w:pPr>
            <w:r>
              <w:rPr>
                <w:rFonts w:hint="eastAsia" w:ascii="仿宋_GB2312" w:hAnsi="仿宋_GB2312" w:eastAsia="仿宋_GB2312" w:cs="楷体"/>
                <w:sz w:val="24"/>
              </w:rPr>
              <w:t>实施新型职业农民培育工程</w:t>
            </w:r>
          </w:p>
        </w:tc>
      </w:tr>
    </w:tbl>
    <w:p>
      <w:pPr>
        <w:spacing w:before="239" w:beforeLines="50" w:after="239" w:afterLines="50" w:line="560" w:lineRule="exact"/>
        <w:jc w:val="center"/>
        <w:outlineLvl w:val="1"/>
        <w:rPr>
          <w:rFonts w:hint="eastAsia" w:ascii="楷体_GB2312" w:hAnsi="楷体" w:eastAsia="楷体_GB2312" w:cs="楷体"/>
          <w:bCs/>
          <w:sz w:val="32"/>
          <w:szCs w:val="32"/>
        </w:rPr>
      </w:pPr>
      <w:bookmarkStart w:id="172" w:name="_Toc9417"/>
      <w:bookmarkStart w:id="173" w:name="_Toc932"/>
      <w:bookmarkStart w:id="174" w:name="_Toc841"/>
      <w:bookmarkStart w:id="175" w:name="_Toc21413"/>
      <w:bookmarkStart w:id="176" w:name="_Toc3703"/>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第二节  加强新型城镇化建设</w:t>
      </w:r>
      <w:bookmarkEnd w:id="172"/>
      <w:bookmarkEnd w:id="173"/>
      <w:bookmarkEnd w:id="174"/>
      <w:bookmarkEnd w:id="175"/>
      <w:bookmarkEnd w:id="176"/>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积极推进农业转移人口市民化。</w:t>
      </w:r>
      <w:r>
        <w:rPr>
          <w:rFonts w:hint="eastAsia" w:ascii="仿宋_GB2312" w:hAnsi="仿宋" w:eastAsia="仿宋_GB2312" w:cs="仿宋"/>
          <w:sz w:val="32"/>
          <w:szCs w:val="32"/>
        </w:rPr>
        <w:t>实行以公民身份证号码为唯一标识、全岛统一的居住证制度，实现城镇基本服务常住人口全覆盖。强化定安县主城区及塔岭工业园区人口集聚能力，通过产业发展带动、院校搬迁带动、公共服务带动、安居型住房带动、棚户区改造带动、消费升级带动等方式，吸引产业劳动力人口、本地城乡居民、外出经商回乡人员、安居房适用群体、岛内外人才在主城区定居兴业，促主城区常住人口规模增长。到2025年，全县常住人口规模达到40万人以上，城区达到14万人以上。</w:t>
      </w:r>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提升城市品质。</w:t>
      </w:r>
      <w:r>
        <w:rPr>
          <w:rFonts w:hint="eastAsia" w:ascii="仿宋_GB2312" w:hAnsi="仿宋" w:eastAsia="仿宋_GB2312" w:cs="仿宋"/>
          <w:sz w:val="32"/>
          <w:szCs w:val="32"/>
        </w:rPr>
        <w:t>优化生态保护红线、永久基本农田、城镇开发边界3条控制线。加强和规范定城生态建设，推进生态修复城市修补，保护历史文化和城市风貌，提升生态环境品质，实现生产空间集约高效、生活空间宜居适度、生态空间山清水秀，建立游客满意、人民幸福的新城市。促进定城产城融合、职住平衡，实现住宅、办公、商业、休闲等功能区相互交织。实施城市更新行动，有序推进“城中村”、棚户区和老旧小区改造。高标准建设城市基础设施，优先发展公共交通；完善快速路城区段、主次干路和支路级配置合理的城区路网系统，建设城市人行道、非机动车道、慢行系统和行人过街设施；加强排涝管网、地下综合管廊和消防设施建设；健全农贸市场、停车场等便民服务设施；</w:t>
      </w:r>
      <w:r>
        <w:rPr>
          <w:rFonts w:hint="eastAsia" w:ascii="仿宋_GB2312" w:hAnsi="仿宋_GB2312" w:eastAsia="仿宋_GB2312" w:cs="楷体"/>
          <w:sz w:val="32"/>
          <w:szCs w:val="32"/>
        </w:rPr>
        <w:t>加强无障碍环境建设规划</w:t>
      </w:r>
      <w:r>
        <w:rPr>
          <w:rFonts w:hint="eastAsia" w:ascii="仿宋_GB2312" w:hAnsi="仿宋" w:eastAsia="仿宋_GB2312" w:cs="仿宋"/>
          <w:sz w:val="32"/>
          <w:szCs w:val="32"/>
        </w:rPr>
        <w:t>。</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强化常住人口基本公共服务。</w:t>
      </w:r>
      <w:r>
        <w:rPr>
          <w:rFonts w:hint="eastAsia" w:ascii="仿宋_GB2312" w:hAnsi="仿宋" w:eastAsia="仿宋_GB2312" w:cs="仿宋"/>
          <w:sz w:val="32"/>
          <w:szCs w:val="32"/>
        </w:rPr>
        <w:t>以居住证为载体向未落户人口提供城镇基本公共服务及办事便利。健全以居住证为主要依据的随迁子女入学入园政策。整合城乡居民基本医保制度，深入推进城乡居民异地就医直接结算，强化基本医保、大病保险和医疗救助等制度的衔接。开展利用农村集体经营性建设用地建设租赁住房试点，将符合条件的常住人口纳入公租房保障范围和住房公积金制度覆盖范围。</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提升新型城镇化要素保障水平。</w:t>
      </w:r>
      <w:r>
        <w:rPr>
          <w:rFonts w:hint="eastAsia" w:ascii="仿宋_GB2312" w:hAnsi="仿宋" w:eastAsia="仿宋_GB2312" w:cs="仿宋"/>
          <w:sz w:val="32"/>
          <w:szCs w:val="32"/>
        </w:rPr>
        <w:t>加大财政资金支持，针对公益性项目设计多元化财政性资金投入保障机制，用好地方政府专项债券、一般债券等资金渠道。吸引社会资本投入，针对公益性项目，发挥财政资金引导作用和开发性金融机构投资工具对社会资本的引领作用，撬动金融和社会资本参与，鼓励政策性、开发性和商业性金融机构通过市场化方式开展融资模式创新，为城乡基础设施建设和公共服务保障提供长期资金支持。加强建设用地支撑，健全集约节约用地制度、评价标准以及存量建设用地盘活政策体系，注重盘活存量建设用地和低效土地，推进解决城镇化进程中“城中村”产生的集体土地历史遗留问题。</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sz w:val="24"/>
              </w:rPr>
            </w:pPr>
            <w:r>
              <w:rPr>
                <w:rFonts w:hint="eastAsia" w:ascii="仿宋_GB2312" w:hAnsi="仿宋_GB2312" w:eastAsia="仿宋_GB2312" w:cs="楷体"/>
                <w:sz w:val="24"/>
              </w:rPr>
              <w:t>专栏2：城乡融合协调发展重点工程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海南省定安县龙门镇全域土地综合试点</w:t>
            </w:r>
          </w:p>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特色小镇立面改造项目</w:t>
            </w:r>
          </w:p>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城市更新（老旧小区改造、棚户区改造等）及服务功能提升项目</w:t>
            </w:r>
          </w:p>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城乡供水一体化项目</w:t>
            </w:r>
          </w:p>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城乡污水治理一体化项目</w:t>
            </w:r>
          </w:p>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县域城乡医疗体系一体化建设项目</w:t>
            </w:r>
          </w:p>
          <w:p>
            <w:pPr>
              <w:numPr>
                <w:ilvl w:val="0"/>
                <w:numId w:val="2"/>
              </w:numPr>
              <w:rPr>
                <w:rFonts w:hint="eastAsia" w:ascii="仿宋_GB2312" w:hAnsi="仿宋" w:eastAsia="仿宋_GB2312" w:cs="仿宋"/>
                <w:kern w:val="0"/>
                <w:sz w:val="24"/>
              </w:rPr>
            </w:pPr>
            <w:r>
              <w:rPr>
                <w:rFonts w:hint="eastAsia" w:ascii="仿宋_GB2312" w:hAnsi="仿宋" w:eastAsia="仿宋_GB2312" w:cs="仿宋"/>
                <w:kern w:val="0"/>
                <w:sz w:val="24"/>
              </w:rPr>
              <w:t>城镇社会福利设施一体化建设项目</w:t>
            </w:r>
          </w:p>
          <w:p>
            <w:pPr>
              <w:numPr>
                <w:ilvl w:val="0"/>
                <w:numId w:val="2"/>
              </w:numPr>
              <w:rPr>
                <w:rFonts w:hint="eastAsia" w:ascii="仿宋_GB2312" w:hAnsi="仿宋_GB2312" w:eastAsia="仿宋_GB2312" w:cs="楷体"/>
                <w:sz w:val="24"/>
              </w:rPr>
            </w:pPr>
            <w:r>
              <w:rPr>
                <w:rFonts w:hint="eastAsia" w:ascii="仿宋_GB2312" w:hAnsi="仿宋" w:eastAsia="仿宋_GB2312" w:cs="仿宋"/>
                <w:kern w:val="0"/>
                <w:sz w:val="24"/>
              </w:rPr>
              <w:t>便民服务工程</w:t>
            </w:r>
          </w:p>
        </w:tc>
      </w:tr>
    </w:tbl>
    <w:p>
      <w:pPr>
        <w:spacing w:before="239" w:beforeLines="50" w:after="239" w:afterLines="50" w:line="560" w:lineRule="exact"/>
        <w:ind w:left="0" w:leftChars="0" w:firstLine="0" w:firstLineChars="0"/>
        <w:jc w:val="center"/>
        <w:outlineLvl w:val="1"/>
        <w:rPr>
          <w:rFonts w:hint="eastAsia" w:ascii="楷体_GB2312" w:hAnsi="楷体" w:eastAsia="楷体_GB2312" w:cs="楷体"/>
          <w:b w:val="0"/>
          <w:bCs w:val="0"/>
          <w:sz w:val="32"/>
          <w:szCs w:val="32"/>
        </w:rPr>
      </w:pPr>
      <w:bookmarkStart w:id="177" w:name="_Toc13417"/>
      <w:bookmarkStart w:id="178" w:name="_Toc15206"/>
      <w:bookmarkStart w:id="179" w:name="_Toc28173"/>
      <w:bookmarkStart w:id="180" w:name="_Toc3320"/>
      <w:bookmarkStart w:id="181" w:name="_Toc2236"/>
      <w:bookmarkStart w:id="182" w:name="_Toc20597"/>
    </w:p>
    <w:p>
      <w:pPr>
        <w:spacing w:before="239" w:beforeLines="50" w:after="239" w:afterLines="50" w:line="560" w:lineRule="exact"/>
        <w:ind w:left="0" w:leftChars="0" w:firstLine="0" w:firstLineChars="0"/>
        <w:jc w:val="center"/>
        <w:outlineLvl w:val="1"/>
        <w:rPr>
          <w:rFonts w:hint="eastAsia" w:ascii="楷体_GB2312" w:hAnsi="楷体" w:eastAsia="楷体_GB2312" w:cs="楷体"/>
          <w:b/>
          <w:bCs/>
          <w:sz w:val="32"/>
          <w:szCs w:val="32"/>
        </w:rPr>
      </w:pPr>
      <w:r>
        <w:rPr>
          <w:rFonts w:hint="eastAsia" w:ascii="楷体_GB2312" w:hAnsi="楷体" w:eastAsia="楷体_GB2312" w:cs="楷体"/>
          <w:b w:val="0"/>
          <w:bCs w:val="0"/>
          <w:sz w:val="32"/>
          <w:szCs w:val="32"/>
        </w:rPr>
        <w:t>第三节  建立健全城乡融合发展体制机制</w:t>
      </w:r>
      <w:bookmarkEnd w:id="177"/>
      <w:bookmarkEnd w:id="178"/>
      <w:bookmarkEnd w:id="179"/>
      <w:bookmarkEnd w:id="180"/>
      <w:bookmarkEnd w:id="181"/>
      <w:bookmarkEnd w:id="182"/>
    </w:p>
    <w:p>
      <w:pPr>
        <w:pStyle w:val="11"/>
        <w:spacing w:line="560" w:lineRule="exact"/>
        <w:ind w:firstLine="629"/>
        <w:rPr>
          <w:rFonts w:hint="eastAsia" w:ascii="仿宋_GB2312" w:hAnsi="仿宋" w:eastAsia="仿宋_GB2312" w:cs="仿宋"/>
          <w:sz w:val="32"/>
          <w:szCs w:val="32"/>
        </w:rPr>
      </w:pPr>
      <w:r>
        <w:rPr>
          <w:rFonts w:hint="eastAsia" w:ascii="仿宋_GB2312" w:hAnsi="仿宋" w:eastAsia="仿宋_GB2312" w:cs="仿宋"/>
          <w:sz w:val="32"/>
          <w:szCs w:val="32"/>
        </w:rPr>
        <w:t>充分发挥市场在资源配置中的决定性作用，推动城乡要素自由流动、平等交换，推动新型工业化、信息化、城镇化、农村现代化同步发展。通盘考虑城镇和乡村发展，统筹谋划产业发展、基础设施、公共服务、资源能源、生态环境保护等主要布局，形成田园乡村与现代城镇各具特色、交相辉映的城乡发展形态。强化县域空间规划和各类专项规划引导约束作用，科学安排县域乡村布局、资源利用、设施配置和村庄整治，推动村庄规划管理全覆盖。提升城镇区域和乡村区域的整体发展质量，推动城乡建立“平等互补的合作关系”。加强各类规划的统筹管理和系统衔接，形成城乡融合、区域一体、多规合一的规划体系。根据发展现状和需要分类有序推进乡村振兴，对具备条件的村庄加快推进城镇基础设施和公共服务向农村延伸，对城郊融合型村庄探索就地城镇化。</w:t>
      </w:r>
    </w:p>
    <w:p>
      <w:pPr>
        <w:pStyle w:val="12"/>
        <w:spacing w:before="239" w:beforeLines="50" w:after="239" w:afterLines="50" w:line="560" w:lineRule="exact"/>
        <w:jc w:val="center"/>
        <w:outlineLvl w:val="0"/>
        <w:rPr>
          <w:rFonts w:hint="eastAsia" w:ascii="黑体" w:hAnsi="黑体" w:eastAsia="黑体"/>
          <w:bCs/>
          <w:color w:val="auto"/>
          <w:sz w:val="32"/>
          <w:szCs w:val="32"/>
        </w:rPr>
      </w:pPr>
      <w:bookmarkStart w:id="183" w:name="_Toc7295"/>
      <w:bookmarkStart w:id="184" w:name="_Toc19954"/>
      <w:bookmarkStart w:id="185" w:name="_Toc23336"/>
      <w:bookmarkStart w:id="186" w:name="_Toc18725"/>
      <w:bookmarkStart w:id="187" w:name="_Toc12580"/>
      <w:bookmarkStart w:id="188" w:name="_Toc22493"/>
      <w:bookmarkStart w:id="189" w:name="_Toc4454"/>
      <w:bookmarkStart w:id="190" w:name="_Toc54189191"/>
      <w:bookmarkStart w:id="191" w:name="_Toc9984"/>
      <w:bookmarkStart w:id="192" w:name="_Toc54189161"/>
      <w:bookmarkStart w:id="193" w:name="_Toc16225"/>
      <w:bookmarkStart w:id="194" w:name="_Toc30242"/>
      <w:bookmarkStart w:id="195" w:name="_Toc30500"/>
      <w:r>
        <w:rPr>
          <w:rFonts w:hint="eastAsia" w:ascii="黑体" w:hAnsi="黑体" w:eastAsia="黑体"/>
          <w:bCs/>
          <w:color w:val="auto"/>
          <w:sz w:val="32"/>
          <w:szCs w:val="32"/>
        </w:rPr>
        <w:t>第六章  构建现代产业体系，推进高质量发展</w:t>
      </w:r>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560" w:lineRule="exact"/>
        <w:ind w:firstLine="640" w:firstLineChars="200"/>
        <w:rPr>
          <w:rFonts w:hint="eastAsia" w:ascii="仿宋_GB2312" w:hAnsi="仿宋" w:eastAsia="仿宋_GB2312" w:cs="仿宋"/>
          <w:sz w:val="32"/>
          <w:szCs w:val="32"/>
        </w:rPr>
      </w:pPr>
      <w:bookmarkStart w:id="196" w:name="_Toc18918"/>
      <w:bookmarkStart w:id="197" w:name="_Toc30037"/>
      <w:bookmarkStart w:id="198" w:name="_Toc54189192"/>
      <w:bookmarkStart w:id="199" w:name="_Toc28415"/>
      <w:r>
        <w:rPr>
          <w:rFonts w:hint="eastAsia" w:ascii="仿宋_GB2312" w:hAnsi="仿宋" w:eastAsia="仿宋_GB2312" w:cs="仿宋"/>
          <w:sz w:val="32"/>
          <w:szCs w:val="32"/>
        </w:rPr>
        <w:t>全面抓住“海澄文定”综合经济圈机遇，发挥资源优势，深化产业结构调整，强化园区辐射带动作用，构建以旅游业、现代服务业、高新技术产业、热带特色高效农业为主导的产业体系。</w:t>
      </w:r>
      <w:bookmarkEnd w:id="196"/>
      <w:bookmarkEnd w:id="197"/>
      <w:bookmarkEnd w:id="198"/>
      <w:bookmarkEnd w:id="199"/>
      <w:bookmarkStart w:id="200" w:name="_Toc13931"/>
      <w:bookmarkStart w:id="201" w:name="_Toc27812"/>
      <w:bookmarkStart w:id="202" w:name="_Toc30715"/>
      <w:bookmarkStart w:id="203" w:name="_Toc357"/>
      <w:bookmarkStart w:id="204" w:name="_Toc2313"/>
      <w:bookmarkStart w:id="205" w:name="_Toc4344"/>
      <w:bookmarkStart w:id="206" w:name="_Toc30613"/>
      <w:bookmarkStart w:id="207" w:name="_Toc54189193"/>
      <w:bookmarkStart w:id="208" w:name="_Toc17988"/>
    </w:p>
    <w:p>
      <w:pPr>
        <w:spacing w:line="560" w:lineRule="exact"/>
        <w:ind w:firstLine="640" w:firstLineChars="200"/>
        <w:rPr>
          <w:rFonts w:hint="eastAsia"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第一节  以历史文化为纽带，发展壮大文化生态旅游产业</w:t>
      </w:r>
      <w:bookmarkEnd w:id="200"/>
      <w:bookmarkEnd w:id="201"/>
      <w:bookmarkEnd w:id="202"/>
      <w:bookmarkEnd w:id="203"/>
      <w:bookmarkEnd w:id="204"/>
      <w:bookmarkEnd w:id="205"/>
      <w:bookmarkEnd w:id="206"/>
      <w:bookmarkEnd w:id="207"/>
      <w:bookmarkEnd w:id="208"/>
    </w:p>
    <w:p>
      <w:pPr>
        <w:spacing w:line="560" w:lineRule="exact"/>
        <w:ind w:firstLine="641"/>
        <w:rPr>
          <w:rFonts w:hint="eastAsia" w:ascii="仿宋_GB2312" w:hAnsi="仿宋" w:eastAsia="仿宋_GB2312"/>
          <w:sz w:val="32"/>
          <w:szCs w:val="32"/>
        </w:rPr>
      </w:pPr>
      <w:bookmarkStart w:id="209" w:name="_Toc28996"/>
      <w:bookmarkStart w:id="210" w:name="_Toc26215"/>
      <w:r>
        <w:rPr>
          <w:rFonts w:hint="eastAsia" w:ascii="仿宋_GB2312" w:hAnsi="仿宋" w:eastAsia="仿宋_GB2312"/>
          <w:sz w:val="32"/>
          <w:szCs w:val="32"/>
        </w:rPr>
        <w:t>坚持以国际化理念引领,发挥优势，突出特色，丰富旅游生态和人文内涵，推动旅游与多产业融合发展，加快旅游消费升级，高标准发展好旅游业。</w:t>
      </w:r>
    </w:p>
    <w:bookmarkEnd w:id="209"/>
    <w:bookmarkEnd w:id="210"/>
    <w:p>
      <w:pPr>
        <w:spacing w:line="560" w:lineRule="exact"/>
        <w:ind w:firstLine="642" w:firstLineChars="200"/>
        <w:outlineLvl w:val="2"/>
        <w:rPr>
          <w:rFonts w:hint="eastAsia" w:ascii="仿宋_GB2312" w:hAnsi="仿宋_GB2312" w:eastAsia="仿宋_GB2312" w:cs="楷体"/>
          <w:b/>
          <w:bCs/>
          <w:sz w:val="32"/>
          <w:szCs w:val="32"/>
        </w:rPr>
      </w:pPr>
      <w:bookmarkStart w:id="211" w:name="_Toc19753"/>
      <w:bookmarkStart w:id="212" w:name="_Toc31653"/>
      <w:r>
        <w:rPr>
          <w:rFonts w:hint="eastAsia" w:ascii="仿宋_GB2312" w:hAnsi="仿宋_GB2312" w:eastAsia="仿宋_GB2312" w:cs="楷体"/>
          <w:b/>
          <w:bCs/>
          <w:sz w:val="32"/>
          <w:szCs w:val="32"/>
        </w:rPr>
        <w:t>1.</w:t>
      </w:r>
      <w:bookmarkEnd w:id="211"/>
      <w:bookmarkEnd w:id="212"/>
      <w:r>
        <w:rPr>
          <w:rFonts w:hint="eastAsia" w:ascii="仿宋_GB2312" w:hAnsi="仿宋_GB2312" w:eastAsia="仿宋_GB2312" w:cs="楷体"/>
          <w:b/>
          <w:bCs/>
          <w:sz w:val="32"/>
          <w:szCs w:val="32"/>
        </w:rPr>
        <w:t>强化旅游业态布局特色</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文化深度体验游。</w:t>
      </w:r>
      <w:r>
        <w:rPr>
          <w:rFonts w:hint="eastAsia" w:ascii="仿宋_GB2312" w:hAnsi="仿宋" w:eastAsia="仿宋_GB2312" w:cs="仿宋"/>
          <w:sz w:val="32"/>
          <w:szCs w:val="32"/>
        </w:rPr>
        <w:t>加强定安古城修缮，整合老县衙、明城墙、琼剧、历史文化村庄等人文资源，组织特色文化旅游线路。突出“+文化”，推动文博单位、科普场馆、非物质文化遗产展示场所的建设，联动打造主题鲜明、体验丰富的文旅研学教育基地。夜间经济注重与本地文化、琼剧艺术和历史文化实景表演的互动融合。支持文笔峰打造国家5A级景区，加强国内外文化活动交流影响力。聚焦打造美食之城，融合购物、旅游、文化为一体，放大美食节效应，激发关联产业的活力。鼓励“美食+文化+赛事”融合，开发特色旅游商品，打造</w:t>
      </w:r>
      <w:r>
        <w:rPr>
          <w:rFonts w:hint="eastAsia" w:ascii="仿宋_GB2312" w:hAnsi="仿宋_GB2312" w:eastAsia="仿宋_GB2312" w:cs="仿宋_GB2312"/>
          <w:kern w:val="0"/>
          <w:sz w:val="32"/>
          <w:szCs w:val="32"/>
        </w:rPr>
        <w:t>海南历史文化旅游目的地。</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体育运动游。</w:t>
      </w:r>
      <w:r>
        <w:rPr>
          <w:rFonts w:hint="eastAsia" w:ascii="仿宋_GB2312" w:hAnsi="仿宋" w:eastAsia="仿宋_GB2312" w:cs="仿宋"/>
          <w:sz w:val="32"/>
          <w:szCs w:val="32"/>
        </w:rPr>
        <w:t>依托山-湖景观特色，拓展户外拓展、户外露营、户外体育运动、定向越野、极限运动、徒步探险、热气球、水上运动等运动产品，推动体育、旅游、度假、健身、赛事等业态的深度融合发展，建设体育运动休闲公园。结合母瑞山南部山地资源，谋划山地自行车探险、山地徒步探险、山地攀岩等活动，配套建设交通设施、游客服务设施和装备购物场所。配套建设大型休闲体育场馆，主动承接海口各类体育赛事活动分会场功能。探索开展龙州河水上活动。</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乡村度假观光游。</w:t>
      </w:r>
      <w:r>
        <w:rPr>
          <w:rFonts w:hint="eastAsia" w:ascii="仿宋_GB2312" w:hAnsi="仿宋" w:eastAsia="仿宋_GB2312" w:cs="仿宋"/>
          <w:sz w:val="32"/>
          <w:szCs w:val="32"/>
        </w:rPr>
        <w:t>以百里百村乡村旅游带为重点，以人居环境提质升级为核心，加快推进椰级旅游乡村点、美丽乡村、共享农庄的建设。加强旅游基础设施配套，精品化开发皇坡爱情小村、久温塘冷泉等，积极谋划高品质乡村旅游品牌民宿。发展乡村休闲观光体验游，打造农业观光、农事体验、科普教育、民俗表演、餐饮购物于一体的乡村度假观光旅游示范点，形成“一村一品”特色旅游发展格局。</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红色旅游。</w:t>
      </w:r>
      <w:r>
        <w:rPr>
          <w:rFonts w:hint="eastAsia" w:ascii="仿宋_GB2312" w:hAnsi="仿宋_GB2312" w:eastAsia="仿宋_GB2312" w:cs="仿宋_GB2312"/>
          <w:spacing w:val="8"/>
          <w:sz w:val="32"/>
          <w:szCs w:val="32"/>
          <w:shd w:val="clear" w:color="auto" w:fill="FFFFFF"/>
        </w:rPr>
        <w:t>弘扬母瑞山革命精神，加快整合全县的红色旅游资源，有效保护和利用红色旅游资源。发展以</w:t>
      </w:r>
      <w:r>
        <w:rPr>
          <w:rFonts w:hint="eastAsia" w:ascii="仿宋_GB2312" w:hAnsi="仿宋_GB2312" w:eastAsia="仿宋_GB2312" w:cs="仿宋_GB2312"/>
          <w:sz w:val="32"/>
          <w:szCs w:val="32"/>
          <w:lang w:bidi="ar"/>
        </w:rPr>
        <w:t>母瑞山为核心的红色教育产业，引进教育资源</w:t>
      </w:r>
      <w:r>
        <w:rPr>
          <w:rFonts w:hint="eastAsia" w:ascii="仿宋_GB2312" w:hAnsi="仿宋_GB2312" w:eastAsia="仿宋_GB2312" w:cs="仿宋_GB2312"/>
          <w:sz w:val="32"/>
          <w:szCs w:val="32"/>
        </w:rPr>
        <w:t>，构建终身教育体系和学习型社会，结合智库专家优势与母瑞山干部教育基地资源联动，打造国家级干部教育培训基地、涉外宣传中国培训基地，谋划研学旅游精品线路</w:t>
      </w:r>
      <w:r>
        <w:rPr>
          <w:rFonts w:hint="eastAsia" w:ascii="仿宋_GB2312" w:hAnsi="仿宋" w:eastAsia="仿宋_GB2312" w:cs="仿宋"/>
          <w:sz w:val="32"/>
          <w:szCs w:val="32"/>
        </w:rPr>
        <w:t>。</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绿色健康养生游。</w:t>
      </w:r>
      <w:r>
        <w:rPr>
          <w:rFonts w:hint="eastAsia" w:ascii="仿宋_GB2312" w:hAnsi="仿宋" w:eastAsia="仿宋_GB2312" w:cs="仿宋"/>
          <w:sz w:val="32"/>
          <w:szCs w:val="32"/>
        </w:rPr>
        <w:t>打响定安健康旅游品牌，大力推动健康管理、健康体检、疗愈康复、冷泉养生、富硒药膳养生、滨湖康养等旅游产品发展，加快落地相关医疗养生配套项目。建设中医康养旅游一体化平台，着力打造“医、康、养、游”一体化中医服务平台。</w:t>
      </w:r>
    </w:p>
    <w:p>
      <w:pPr>
        <w:spacing w:line="560" w:lineRule="exact"/>
        <w:ind w:firstLine="642" w:firstLineChars="200"/>
        <w:outlineLvl w:val="2"/>
        <w:rPr>
          <w:rFonts w:hint="eastAsia" w:ascii="仿宋_GB2312" w:hAnsi="仿宋_GB2312" w:eastAsia="仿宋_GB2312" w:cs="楷体"/>
          <w:b/>
          <w:bCs/>
          <w:sz w:val="32"/>
          <w:szCs w:val="32"/>
        </w:rPr>
      </w:pPr>
      <w:bookmarkStart w:id="213" w:name="_Toc9780"/>
      <w:bookmarkStart w:id="214" w:name="_Toc18111"/>
      <w:r>
        <w:rPr>
          <w:rFonts w:hint="eastAsia" w:ascii="仿宋_GB2312" w:hAnsi="仿宋_GB2312" w:eastAsia="仿宋_GB2312" w:cs="楷体"/>
          <w:b/>
          <w:bCs/>
          <w:sz w:val="32"/>
          <w:szCs w:val="32"/>
        </w:rPr>
        <w:t>2.</w:t>
      </w:r>
      <w:bookmarkEnd w:id="213"/>
      <w:bookmarkEnd w:id="214"/>
      <w:r>
        <w:rPr>
          <w:rFonts w:hint="eastAsia" w:ascii="仿宋_GB2312" w:hAnsi="仿宋_GB2312" w:eastAsia="仿宋_GB2312" w:cs="楷体"/>
          <w:b/>
          <w:bCs/>
          <w:sz w:val="32"/>
          <w:szCs w:val="32"/>
        </w:rPr>
        <w:t>激发旅游消费升级潜能</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构建完善的旅游住宿产品供给体系。</w:t>
      </w:r>
      <w:r>
        <w:rPr>
          <w:rFonts w:hint="eastAsia" w:ascii="仿宋_GB2312" w:hAnsi="仿宋" w:eastAsia="仿宋_GB2312" w:cs="仿宋"/>
          <w:sz w:val="32"/>
          <w:szCs w:val="32"/>
        </w:rPr>
        <w:t>以优化住宿业供给侧结构为主导，丰富住宿产品供给，构建星级酒店、酒店式公寓、社会宾馆、特色民宿多层次、全方面发展的住宿业态格局。重点打造南丽湖国际化住宿业高地，盘活现有酒店设施，加强配套服务设施建设；构建四大特色住宿聚集区，定安古城发挥县政治经济文化中心优势，建设商务会展酒店和古城文化特色民宿聚集区，引入国内外品牌酒店投资，对现有星级饭店提质升级；文笔峰依托民俗文化和香草田园特色，建设一批特色文化养生主题酒店和高档精品民宿；百里百村、高林村、龙梅村、三滩村、卜效村、次滩村等依托冷泉特色、历史文化特色、红色资源特色、田园特色，根据具体发展条件，建设一批文化特色精品民宿、乡村客栈、农家小院；母瑞山旅游景区依托红色文化品牌，打造“红军特色客栈”，提升现有宾馆旅游接待质量。</w:t>
      </w:r>
    </w:p>
    <w:p>
      <w:pPr>
        <w:pStyle w:val="11"/>
        <w:spacing w:line="560" w:lineRule="exact"/>
        <w:ind w:firstLine="631"/>
        <w:rPr>
          <w:rFonts w:hint="eastAsia" w:ascii="仿宋_GB2312" w:hAnsi="仿宋" w:eastAsia="仿宋_GB2312" w:cs="仿宋"/>
          <w:sz w:val="32"/>
          <w:szCs w:val="32"/>
        </w:rPr>
      </w:pPr>
      <w:r>
        <w:rPr>
          <w:rFonts w:hint="eastAsia" w:ascii="仿宋_GB2312" w:hAnsi="仿宋_GB2312" w:eastAsia="仿宋_GB2312" w:cs="楷体"/>
          <w:b/>
          <w:bCs/>
          <w:sz w:val="32"/>
          <w:szCs w:val="32"/>
        </w:rPr>
        <w:t>以平台为载体打造专属IP。</w:t>
      </w:r>
      <w:r>
        <w:rPr>
          <w:rFonts w:hint="eastAsia" w:ascii="仿宋_GB2312" w:hAnsi="仿宋" w:eastAsia="仿宋_GB2312" w:cs="仿宋"/>
          <w:sz w:val="32"/>
          <w:szCs w:val="32"/>
        </w:rPr>
        <w:t>围绕北部古城、美食、美景、田园，中部南丽湖、文笔峰湖光山色与田园，南部红色文化和百里百村，琼剧和历史名人等要素，为旅游资源赋予故事属性。重点发展与创建全球市场服务平台、科技创新与成果产业化实现平台、乡村振兴会展服务平台、宣传营销平台。策划特色旅游节、军坡文化节、南丽湖文化节等特色旅游活动，聚集人气。围绕以IP故事性为核心，强化表征符号，结合主题建设旅游演艺、主题酒店、旅游商品、主题公园、主题节庆等组合业态，强化旅游营销推广。利用明星效应讲好故事，利用综艺节目植入讲故事，打造专属IP。</w:t>
      </w:r>
    </w:p>
    <w:p>
      <w:pPr>
        <w:pStyle w:val="11"/>
        <w:spacing w:line="560" w:lineRule="exact"/>
        <w:ind w:firstLine="631"/>
        <w:rPr>
          <w:rFonts w:hint="eastAsia" w:ascii="仿宋_GB2312" w:hAnsi="仿宋" w:eastAsia="仿宋_GB2312" w:cs="仿宋"/>
          <w:sz w:val="32"/>
          <w:szCs w:val="32"/>
        </w:rPr>
      </w:pPr>
      <w:r>
        <w:rPr>
          <w:rFonts w:hint="eastAsia" w:ascii="仿宋_GB2312" w:hAnsi="仿宋" w:eastAsia="仿宋_GB2312" w:cs="仿宋"/>
          <w:b/>
          <w:bCs/>
          <w:sz w:val="32"/>
          <w:szCs w:val="32"/>
        </w:rPr>
        <w:t>加强旅游品牌建设。</w:t>
      </w:r>
      <w:r>
        <w:rPr>
          <w:rFonts w:hint="eastAsia" w:ascii="仿宋_GB2312" w:hAnsi="仿宋" w:eastAsia="仿宋_GB2312" w:cs="仿宋"/>
          <w:sz w:val="32"/>
          <w:szCs w:val="32"/>
        </w:rPr>
        <w:t>创新旅游宣传营销体系，塑造“火山冷泉”“百里百村”“红色旅游”“定安故城”等旅游品牌。</w:t>
      </w:r>
    </w:p>
    <w:p>
      <w:pPr>
        <w:spacing w:line="560" w:lineRule="exact"/>
        <w:ind w:firstLine="642" w:firstLineChars="200"/>
        <w:outlineLvl w:val="2"/>
        <w:rPr>
          <w:rFonts w:ascii="仿宋_GB2312" w:hAnsi="仿宋_GB2312" w:eastAsia="仿宋_GB2312" w:cs="楷体"/>
          <w:b/>
          <w:bCs/>
          <w:sz w:val="32"/>
          <w:szCs w:val="32"/>
        </w:rPr>
      </w:pPr>
      <w:r>
        <w:rPr>
          <w:rFonts w:hint="eastAsia" w:ascii="仿宋_GB2312" w:hAnsi="仿宋_GB2312" w:eastAsia="仿宋_GB2312" w:cs="楷体"/>
          <w:b/>
          <w:bCs/>
          <w:sz w:val="32"/>
          <w:szCs w:val="32"/>
        </w:rPr>
        <w:t>3.建立多元投入机制</w:t>
      </w:r>
    </w:p>
    <w:p>
      <w:pPr>
        <w:pStyle w:val="11"/>
        <w:spacing w:line="560" w:lineRule="exact"/>
        <w:ind w:firstLine="629"/>
        <w:rPr>
          <w:rFonts w:hint="eastAsia" w:ascii="仿宋_GB2312" w:hAnsi="仿宋" w:eastAsia="仿宋_GB2312" w:cs="仿宋"/>
          <w:sz w:val="32"/>
          <w:szCs w:val="32"/>
        </w:rPr>
      </w:pPr>
      <w:r>
        <w:rPr>
          <w:rFonts w:hint="eastAsia" w:ascii="仿宋_GB2312" w:hAnsi="仿宋" w:eastAsia="仿宋_GB2312" w:cs="仿宋"/>
          <w:sz w:val="32"/>
          <w:szCs w:val="32"/>
        </w:rPr>
        <w:t>政府搭台，企业唱戏，鼓励各类资金投入, 搭建融资平台。加大对文化、旅游产业扶持，通过税收优惠、银行贷款、利息优惠等, 促进两大产业融合发展。用好自贸港政策，设立专项资金，强化人文旅游资源的保护和开发。引入中介组织，搭建战略合作平台，积极引入战略投资者，建立投资对接平台。</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4.加强旅游市场监管</w:t>
      </w:r>
    </w:p>
    <w:p>
      <w:pPr>
        <w:pStyle w:val="11"/>
        <w:spacing w:line="560" w:lineRule="exact"/>
        <w:ind w:firstLine="629"/>
        <w:rPr>
          <w:rFonts w:hint="eastAsia" w:ascii="仿宋_GB2312" w:hAnsi="仿宋" w:eastAsia="仿宋_GB2312" w:cs="仿宋"/>
          <w:sz w:val="32"/>
          <w:szCs w:val="32"/>
        </w:rPr>
      </w:pPr>
      <w:r>
        <w:rPr>
          <w:rFonts w:hint="eastAsia" w:ascii="仿宋_GB2312" w:hAnsi="仿宋" w:eastAsia="仿宋_GB2312" w:cs="仿宋"/>
          <w:sz w:val="32"/>
          <w:szCs w:val="32"/>
        </w:rPr>
        <w:t>深化旅游市场监管体制机制改革，建立以大数据为依托的“云监管”服务平台。清理各种限制旅游消费的政策，建立与自由贸易港相适应的旅游管理体制，推动旅游消费环境优化升级，不断提高旅游服务质量和水平，提高旅游满意度和“回头率”。</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b/>
                <w:bCs/>
                <w:sz w:val="24"/>
              </w:rPr>
            </w:pPr>
            <w:r>
              <w:rPr>
                <w:rFonts w:hint="eastAsia" w:ascii="仿宋_GB2312" w:hAnsi="仿宋_GB2312" w:eastAsia="仿宋_GB2312" w:cs="楷体"/>
                <w:b/>
                <w:bCs/>
                <w:sz w:val="24"/>
              </w:rPr>
              <w:t>专栏3：发展壮大文化生态旅游产业重点工程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百里百村乡村游项目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富文镇九所、新联乡村旅游项目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仙沟美食城项目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海南(定安）冰雪嘉年华项目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户外运动主题乐园项目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龙湖香草田园共享农庄项目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南渡江滨江田园综合体项目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文笔峰盘古文化旅游区升5A级旅游景区工程</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母瑞山红色景区创4A级旅游景区工程</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金鸡岭国际鲜花港项目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龙州河水上观光旅游项目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龙湖十里文化长廊项目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龙门镇沿河田园综合体项目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定安龙湖康健养生疗养中心项目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南丽湖国际康养项目</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南丽湖生态养生文化旅游区</w:t>
            </w:r>
          </w:p>
          <w:p>
            <w:pPr>
              <w:pStyle w:val="12"/>
              <w:numPr>
                <w:ilvl w:val="0"/>
                <w:numId w:val="3"/>
              </w:numPr>
              <w:rPr>
                <w:rFonts w:hint="eastAsia" w:ascii="仿宋_GB2312" w:hAnsi="仿宋_GB2312" w:eastAsia="仿宋_GB2312" w:cs="楷体"/>
                <w:color w:val="auto"/>
                <w:kern w:val="2"/>
              </w:rPr>
            </w:pPr>
            <w:r>
              <w:rPr>
                <w:rFonts w:hint="eastAsia" w:ascii="仿宋_GB2312" w:hAnsi="仿宋_GB2312" w:eastAsia="仿宋_GB2312" w:cs="楷体"/>
                <w:color w:val="auto"/>
                <w:kern w:val="2"/>
              </w:rPr>
              <w:t>海南南丽湖醉花岛项目</w:t>
            </w:r>
          </w:p>
          <w:p>
            <w:pPr>
              <w:pStyle w:val="12"/>
              <w:numPr>
                <w:ilvl w:val="0"/>
                <w:numId w:val="3"/>
              </w:numPr>
              <w:rPr>
                <w:rFonts w:hint="eastAsia"/>
                <w:color w:val="auto"/>
              </w:rPr>
            </w:pPr>
            <w:r>
              <w:rPr>
                <w:rFonts w:hint="eastAsia" w:ascii="仿宋_GB2312" w:hAnsi="仿宋_GB2312" w:eastAsia="仿宋_GB2312" w:cs="楷体"/>
                <w:color w:val="auto"/>
                <w:kern w:val="2"/>
              </w:rPr>
              <w:t>古城保护开发项目</w:t>
            </w:r>
          </w:p>
        </w:tc>
      </w:tr>
    </w:tbl>
    <w:p>
      <w:pPr>
        <w:spacing w:before="239" w:beforeLines="50" w:after="239" w:afterLines="50" w:line="560" w:lineRule="exact"/>
        <w:ind w:left="0" w:leftChars="0" w:firstLine="0" w:firstLineChars="0"/>
        <w:jc w:val="center"/>
        <w:outlineLvl w:val="1"/>
        <w:rPr>
          <w:rFonts w:hint="eastAsia" w:ascii="楷体_GB2312" w:hAnsi="楷体" w:eastAsia="楷体_GB2312" w:cs="楷体"/>
          <w:b w:val="0"/>
          <w:bCs w:val="0"/>
          <w:sz w:val="32"/>
          <w:szCs w:val="32"/>
        </w:rPr>
      </w:pPr>
      <w:bookmarkStart w:id="215" w:name="_Toc18632"/>
      <w:bookmarkStart w:id="216" w:name="_Toc14185"/>
      <w:bookmarkStart w:id="217" w:name="_Toc12526"/>
      <w:bookmarkStart w:id="218" w:name="_Toc6177"/>
      <w:bookmarkStart w:id="219" w:name="_Toc8657"/>
      <w:bookmarkStart w:id="220" w:name="_Toc15691"/>
      <w:bookmarkStart w:id="221" w:name="_Toc54189194"/>
      <w:bookmarkStart w:id="222" w:name="_Toc18851"/>
      <w:bookmarkStart w:id="223" w:name="_Toc18316"/>
    </w:p>
    <w:p>
      <w:pPr>
        <w:spacing w:before="239" w:beforeLines="50" w:after="239" w:afterLines="50" w:line="560" w:lineRule="exact"/>
        <w:ind w:left="0" w:leftChars="0" w:firstLine="0" w:firstLineChars="0"/>
        <w:jc w:val="center"/>
        <w:outlineLvl w:val="1"/>
        <w:rPr>
          <w:rFonts w:hint="eastAsia" w:ascii="楷体_GB2312" w:hAnsi="楷体" w:eastAsia="楷体_GB2312" w:cs="楷体"/>
          <w:b w:val="0"/>
          <w:bCs w:val="0"/>
          <w:sz w:val="32"/>
          <w:szCs w:val="32"/>
        </w:rPr>
      </w:pPr>
      <w:r>
        <w:rPr>
          <w:rFonts w:hint="eastAsia" w:ascii="楷体_GB2312" w:hAnsi="楷体" w:eastAsia="楷体_GB2312" w:cs="楷体"/>
          <w:b w:val="0"/>
          <w:bCs w:val="0"/>
          <w:sz w:val="32"/>
          <w:szCs w:val="32"/>
        </w:rPr>
        <w:t>第二节  以区域协同发展为契机，加快发展现代服务产业</w:t>
      </w:r>
      <w:bookmarkEnd w:id="215"/>
      <w:bookmarkEnd w:id="216"/>
      <w:bookmarkEnd w:id="217"/>
      <w:bookmarkEnd w:id="218"/>
      <w:bookmarkEnd w:id="219"/>
      <w:bookmarkEnd w:id="220"/>
      <w:bookmarkEnd w:id="221"/>
      <w:bookmarkEnd w:id="222"/>
      <w:bookmarkEnd w:id="223"/>
    </w:p>
    <w:p>
      <w:pPr>
        <w:spacing w:line="560" w:lineRule="exact"/>
        <w:ind w:firstLine="640" w:firstLineChars="200"/>
        <w:rPr>
          <w:rFonts w:hint="eastAsia" w:ascii="仿宋_GB2312" w:hAnsi="仿宋_GB2312" w:eastAsia="仿宋_GB2312" w:cs="楷体"/>
          <w:sz w:val="32"/>
          <w:szCs w:val="32"/>
        </w:rPr>
      </w:pPr>
      <w:bookmarkStart w:id="224" w:name="_Toc26204"/>
      <w:bookmarkStart w:id="225" w:name="_Toc24051"/>
      <w:r>
        <w:rPr>
          <w:rFonts w:hint="eastAsia" w:ascii="仿宋_GB2312" w:hAnsi="仿宋_GB2312" w:eastAsia="仿宋_GB2312" w:cs="楷体"/>
          <w:sz w:val="32"/>
          <w:szCs w:val="32"/>
        </w:rPr>
        <w:t>顺应自贸港贸易自由化大趋势，紧跟消费需求、紧贴生产需要，推进服务业标准化、品牌化建设，着力提高服务效率和服务品质，促进服务业做大规模、做优结构、做高层次。</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总部经济。</w:t>
      </w:r>
      <w:r>
        <w:rPr>
          <w:rFonts w:hint="eastAsia" w:ascii="仿宋_GB2312" w:hAnsi="仿宋_GB2312" w:eastAsia="仿宋_GB2312" w:cs="楷体"/>
          <w:sz w:val="32"/>
          <w:szCs w:val="32"/>
        </w:rPr>
        <w:t>培育和发展金融、交易、科技研发、设计、结算类区域总部经济，促进产业聚集发展。</w:t>
      </w:r>
    </w:p>
    <w:p>
      <w:pPr>
        <w:spacing w:line="560" w:lineRule="exact"/>
        <w:ind w:firstLine="642" w:firstLineChars="200"/>
        <w:rPr>
          <w:rFonts w:hint="eastAsia" w:ascii="仿宋_GB2312" w:hAnsi="仿宋" w:eastAsia="仿宋_GB2312" w:cs="仿宋"/>
          <w:sz w:val="32"/>
          <w:szCs w:val="32"/>
        </w:rPr>
      </w:pPr>
      <w:r>
        <w:rPr>
          <w:rFonts w:hint="eastAsia" w:ascii="仿宋_GB2312" w:hAnsi="仿宋_GB2312" w:eastAsia="仿宋_GB2312" w:cs="楷体"/>
          <w:b/>
          <w:bCs/>
          <w:sz w:val="32"/>
          <w:szCs w:val="32"/>
        </w:rPr>
        <w:t>现代物流</w:t>
      </w:r>
      <w:bookmarkEnd w:id="224"/>
      <w:bookmarkEnd w:id="225"/>
      <w:r>
        <w:rPr>
          <w:rFonts w:hint="eastAsia" w:ascii="仿宋_GB2312" w:hAnsi="仿宋_GB2312" w:eastAsia="仿宋_GB2312" w:cs="楷体"/>
          <w:b/>
          <w:bCs/>
          <w:sz w:val="32"/>
          <w:szCs w:val="32"/>
        </w:rPr>
        <w:t>业。</w:t>
      </w:r>
      <w:r>
        <w:rPr>
          <w:rFonts w:hint="eastAsia" w:ascii="仿宋_GB2312" w:hAnsi="仿宋" w:eastAsia="仿宋_GB2312" w:cs="仿宋"/>
          <w:sz w:val="32"/>
          <w:szCs w:val="32"/>
        </w:rPr>
        <w:t>加强冷链物流标准化建设，着力发展农产品、加工食品、药品等冷链物流，建设冷链物流中心。充分利用海南自贸港的政策优势和海口半小时经济圈的区位优势，建成集“互联网+国际商品会展+现代物流贸易平台”于一体的仓储物流总部，打造电子商务和总部结算中心。制定现代物流用地使用相关政策，分批次地引导现代物流基地建设，满足城市商品供应、绿色农产品进城、贸易畅通等物流需求；给予现代物流服务业金融支持，完善和落实金融优惠政策。加强物流信息化建设，建立县级物流公共信息平台，实现定安物流信息的开放共享和互联互通，适应现代物流体系的信息化与网络化发展趋势，建立健全物流企业的技术共享与创新发展新机制。</w:t>
      </w:r>
    </w:p>
    <w:p>
      <w:pPr>
        <w:spacing w:line="560" w:lineRule="exact"/>
        <w:ind w:firstLine="642" w:firstLineChars="200"/>
        <w:rPr>
          <w:rFonts w:hint="eastAsia" w:ascii="仿宋_GB2312" w:hAnsi="仿宋" w:eastAsia="仿宋_GB2312" w:cs="仿宋"/>
          <w:sz w:val="32"/>
          <w:szCs w:val="32"/>
        </w:rPr>
      </w:pPr>
      <w:bookmarkStart w:id="226" w:name="_Toc9852"/>
      <w:bookmarkStart w:id="227" w:name="_Toc12218"/>
      <w:r>
        <w:rPr>
          <w:rFonts w:hint="eastAsia" w:ascii="仿宋_GB2312" w:hAnsi="仿宋_GB2312" w:eastAsia="仿宋_GB2312" w:cs="楷体"/>
          <w:b/>
          <w:bCs/>
          <w:sz w:val="32"/>
          <w:szCs w:val="32"/>
        </w:rPr>
        <w:t>应急物资储备仓储</w:t>
      </w:r>
      <w:bookmarkEnd w:id="226"/>
      <w:bookmarkEnd w:id="227"/>
      <w:r>
        <w:rPr>
          <w:rFonts w:hint="eastAsia" w:ascii="仿宋_GB2312" w:hAnsi="仿宋_GB2312" w:eastAsia="仿宋_GB2312" w:cs="楷体"/>
          <w:b/>
          <w:bCs/>
          <w:sz w:val="32"/>
          <w:szCs w:val="32"/>
        </w:rPr>
        <w:t>。</w:t>
      </w:r>
      <w:r>
        <w:rPr>
          <w:rFonts w:hint="eastAsia" w:ascii="仿宋_GB2312" w:hAnsi="仿宋" w:eastAsia="仿宋_GB2312" w:cs="仿宋"/>
          <w:sz w:val="32"/>
          <w:szCs w:val="32"/>
        </w:rPr>
        <w:t>立足“海澄文定”一体化共同构建长效、快速响应、开放协同的应急物资储备仓储保障基地，布局应急物资仓储和冷链物资储备中心，为政府各部门、各企事业单位的应急物资供应端统筹协调集中收货、公共仓储、共同配送服务。主动链接省级大数据管理局的服务器平台，实现全省应急部门应急物资数据共享，鼓励社会资源、资本积极参与应急物资仓储建设。</w:t>
      </w:r>
    </w:p>
    <w:p>
      <w:pPr>
        <w:spacing w:line="560" w:lineRule="exact"/>
        <w:ind w:firstLine="642" w:firstLineChars="200"/>
        <w:rPr>
          <w:rFonts w:hint="eastAsia" w:ascii="仿宋_GB2312" w:hAnsi="仿宋" w:eastAsia="仿宋_GB2312" w:cs="仿宋"/>
          <w:sz w:val="32"/>
          <w:szCs w:val="32"/>
        </w:rPr>
      </w:pPr>
      <w:bookmarkStart w:id="228" w:name="_Toc6791"/>
      <w:bookmarkStart w:id="229" w:name="_Toc50567796"/>
      <w:bookmarkStart w:id="230" w:name="_Toc20067"/>
      <w:r>
        <w:rPr>
          <w:rFonts w:hint="eastAsia" w:ascii="仿宋_GB2312" w:hAnsi="仿宋_GB2312" w:eastAsia="仿宋_GB2312" w:cs="楷体"/>
          <w:b/>
          <w:bCs/>
          <w:sz w:val="32"/>
          <w:szCs w:val="32"/>
        </w:rPr>
        <w:t>教育培训</w:t>
      </w:r>
      <w:bookmarkEnd w:id="228"/>
      <w:bookmarkEnd w:id="229"/>
      <w:bookmarkEnd w:id="230"/>
      <w:r>
        <w:rPr>
          <w:rFonts w:hint="eastAsia" w:ascii="仿宋_GB2312" w:hAnsi="仿宋_GB2312" w:eastAsia="仿宋_GB2312" w:cs="楷体"/>
          <w:b/>
          <w:bCs/>
          <w:sz w:val="32"/>
          <w:szCs w:val="32"/>
        </w:rPr>
        <w:t>。</w:t>
      </w:r>
      <w:r>
        <w:rPr>
          <w:rFonts w:hint="eastAsia" w:ascii="仿宋_GB2312" w:hAnsi="仿宋" w:eastAsia="仿宋_GB2312" w:cs="仿宋"/>
          <w:sz w:val="32"/>
          <w:szCs w:val="32"/>
        </w:rPr>
        <w:t>充分挖掘红色文化资源，创新发展干部教育培训，以“红色+文旅+教育”模式，开辟一条特色鲜明、效益显著的干部教育培训发展道路，打造独具特色的红色教育培训基地。</w:t>
      </w:r>
    </w:p>
    <w:p>
      <w:pPr>
        <w:spacing w:line="560" w:lineRule="exact"/>
        <w:ind w:firstLine="642" w:firstLineChars="200"/>
        <w:rPr>
          <w:rFonts w:hint="eastAsia" w:ascii="仿宋_GB2312" w:hAnsi="仿宋" w:eastAsia="仿宋_GB2312" w:cs="仿宋"/>
          <w:sz w:val="32"/>
          <w:szCs w:val="32"/>
        </w:rPr>
      </w:pPr>
      <w:bookmarkStart w:id="231" w:name="_Toc50567797"/>
      <w:bookmarkStart w:id="232" w:name="_Toc13216"/>
      <w:bookmarkStart w:id="233" w:name="_Toc7379"/>
      <w:r>
        <w:rPr>
          <w:rFonts w:hint="eastAsia" w:ascii="仿宋_GB2312" w:hAnsi="仿宋_GB2312" w:eastAsia="仿宋_GB2312" w:cs="楷体"/>
          <w:b/>
          <w:bCs/>
          <w:sz w:val="32"/>
          <w:szCs w:val="32"/>
        </w:rPr>
        <w:t>设计研发</w:t>
      </w:r>
      <w:bookmarkEnd w:id="231"/>
      <w:bookmarkEnd w:id="232"/>
      <w:bookmarkEnd w:id="233"/>
      <w:r>
        <w:rPr>
          <w:rFonts w:hint="eastAsia" w:ascii="仿宋_GB2312" w:hAnsi="仿宋_GB2312" w:eastAsia="仿宋_GB2312" w:cs="楷体"/>
          <w:b/>
          <w:bCs/>
          <w:sz w:val="32"/>
          <w:szCs w:val="32"/>
        </w:rPr>
        <w:t>。</w:t>
      </w:r>
      <w:r>
        <w:rPr>
          <w:rFonts w:hint="eastAsia" w:ascii="仿宋_GB2312" w:hAnsi="仿宋" w:eastAsia="仿宋_GB2312" w:cs="仿宋"/>
          <w:sz w:val="32"/>
          <w:szCs w:val="32"/>
        </w:rPr>
        <w:t>以定安独有的热带经济作物、富硒地、冷泉生态资源为依托，搭建起“智慧种养大数据云平台”等，充分运用物联网技术，发展科技驱动型产业，引领定安自主创新，提升研发能力。推动创意设计产业发展，吸引国内外知名设计企业、机构集聚定安。从健康产业出发，通过引入科学技术、研发设计和技术人才，链接生物医药产业、医美产业等行业，加强健康项目的研发创新。</w:t>
      </w:r>
    </w:p>
    <w:p>
      <w:pPr>
        <w:spacing w:line="560" w:lineRule="exact"/>
        <w:ind w:firstLine="642" w:firstLineChars="200"/>
        <w:rPr>
          <w:rFonts w:hint="eastAsia" w:ascii="仿宋_GB2312" w:hAnsi="仿宋" w:eastAsia="仿宋_GB2312" w:cs="仿宋"/>
          <w:sz w:val="32"/>
          <w:szCs w:val="32"/>
        </w:rPr>
      </w:pPr>
      <w:bookmarkStart w:id="234" w:name="_Toc50567798"/>
      <w:bookmarkStart w:id="235" w:name="_Toc2227"/>
      <w:bookmarkStart w:id="236" w:name="_Toc18323"/>
      <w:r>
        <w:rPr>
          <w:rFonts w:hint="eastAsia" w:ascii="仿宋_GB2312" w:hAnsi="仿宋_GB2312" w:eastAsia="仿宋_GB2312" w:cs="楷体"/>
          <w:b/>
          <w:bCs/>
          <w:sz w:val="32"/>
          <w:szCs w:val="32"/>
        </w:rPr>
        <w:t>会议会展</w:t>
      </w:r>
      <w:bookmarkEnd w:id="234"/>
      <w:bookmarkEnd w:id="235"/>
      <w:bookmarkEnd w:id="236"/>
      <w:r>
        <w:rPr>
          <w:rFonts w:hint="eastAsia" w:ascii="仿宋_GB2312" w:hAnsi="仿宋_GB2312" w:eastAsia="仿宋_GB2312" w:cs="楷体"/>
          <w:b/>
          <w:bCs/>
          <w:sz w:val="32"/>
          <w:szCs w:val="32"/>
        </w:rPr>
        <w:t>。</w:t>
      </w:r>
      <w:r>
        <w:rPr>
          <w:rFonts w:hint="eastAsia" w:ascii="仿宋_GB2312" w:hAnsi="仿宋" w:eastAsia="仿宋_GB2312" w:cs="仿宋"/>
          <w:sz w:val="32"/>
          <w:szCs w:val="32"/>
        </w:rPr>
        <w:t>重振南丽湖会议会展业，推进会展服务创新、管理创新、业态模式创新，依靠大数据、5G及新媒体为会展业高质量发展注入新动能，建设南丽湖区域会议中心，创新招商引资、展会服务、购物消费一体化发展，形成“商旅+食宿”一条龙会展新模式。</w:t>
      </w:r>
    </w:p>
    <w:p>
      <w:pPr>
        <w:spacing w:line="560" w:lineRule="exact"/>
        <w:ind w:firstLine="642" w:firstLineChars="200"/>
        <w:rPr>
          <w:rFonts w:hint="eastAsia" w:ascii="仿宋_GB2312" w:hAnsi="仿宋" w:eastAsia="仿宋_GB2312" w:cs="仿宋"/>
          <w:sz w:val="32"/>
          <w:szCs w:val="32"/>
        </w:rPr>
      </w:pPr>
      <w:bookmarkStart w:id="237" w:name="_Toc22906"/>
      <w:bookmarkStart w:id="238" w:name="_Toc10040"/>
      <w:bookmarkStart w:id="239" w:name="_Toc50567800"/>
      <w:r>
        <w:rPr>
          <w:rFonts w:hint="eastAsia" w:ascii="仿宋_GB2312" w:hAnsi="仿宋_GB2312" w:eastAsia="仿宋_GB2312" w:cs="楷体"/>
          <w:b/>
          <w:bCs/>
          <w:sz w:val="32"/>
          <w:szCs w:val="32"/>
        </w:rPr>
        <w:t>金融业</w:t>
      </w:r>
      <w:bookmarkEnd w:id="237"/>
      <w:bookmarkEnd w:id="238"/>
      <w:bookmarkEnd w:id="239"/>
      <w:r>
        <w:rPr>
          <w:rFonts w:hint="eastAsia" w:ascii="仿宋_GB2312" w:hAnsi="仿宋_GB2312" w:eastAsia="仿宋_GB2312" w:cs="楷体"/>
          <w:b/>
          <w:bCs/>
          <w:sz w:val="32"/>
          <w:szCs w:val="32"/>
        </w:rPr>
        <w:t>。</w:t>
      </w:r>
      <w:r>
        <w:rPr>
          <w:rFonts w:hint="eastAsia" w:ascii="仿宋_GB2312" w:hAnsi="仿宋" w:eastAsia="仿宋_GB2312" w:cs="仿宋"/>
          <w:sz w:val="32"/>
          <w:szCs w:val="32"/>
        </w:rPr>
        <w:t>扩大普惠性金融贷款覆盖面，确保单户授信1000万元以下的中小微企业贷款增速不低于各项贷款增速，降低融资成本。加大信用贷款门槛、使用“两权”（农村承包土地的经营权和农民住房财产权）抵押等无形资产抵质押物，提高资金的可获得性。设立县级中小微企业融资担保基金，为中小微企业提供常态化融资担保服务。进一步加大金融开放力度，鼓励符合条件的国内外银行、证券、保险等金融机构在定安设立分支机构，丰富完善金融服务体系。整合建设基于大数据、区块链的智慧金融综合服务平台，吸纳一批金融大数据、区块链金融、量化投资等领域科技企业落户定安，吸引跨国企业、国内大企业集团到定安注册区域总部和设计、金融、交易、结算等功能性总部，打造先进金融科技服务生态圈。</w:t>
      </w:r>
    </w:p>
    <w:p>
      <w:pPr>
        <w:spacing w:line="560" w:lineRule="exact"/>
        <w:ind w:firstLine="642" w:firstLineChars="200"/>
        <w:rPr>
          <w:rFonts w:hint="eastAsia" w:ascii="仿宋_GB2312" w:hAnsi="仿宋" w:eastAsia="仿宋_GB2312" w:cs="仿宋"/>
          <w:sz w:val="32"/>
          <w:szCs w:val="32"/>
        </w:rPr>
      </w:pPr>
      <w:bookmarkStart w:id="240" w:name="_Toc1459"/>
      <w:bookmarkStart w:id="241" w:name="_Toc2669"/>
      <w:r>
        <w:rPr>
          <w:rFonts w:hint="eastAsia" w:ascii="仿宋_GB2312" w:hAnsi="仿宋_GB2312" w:eastAsia="仿宋_GB2312" w:cs="楷体"/>
          <w:b/>
          <w:bCs/>
          <w:sz w:val="32"/>
          <w:szCs w:val="32"/>
        </w:rPr>
        <w:t>夜间经济</w:t>
      </w:r>
      <w:bookmarkEnd w:id="240"/>
      <w:bookmarkEnd w:id="241"/>
      <w:r>
        <w:rPr>
          <w:rFonts w:hint="eastAsia" w:ascii="仿宋_GB2312" w:hAnsi="仿宋_GB2312" w:eastAsia="仿宋_GB2312" w:cs="楷体"/>
          <w:b/>
          <w:bCs/>
          <w:sz w:val="32"/>
          <w:szCs w:val="32"/>
        </w:rPr>
        <w:t>与线上经济。</w:t>
      </w:r>
      <w:r>
        <w:rPr>
          <w:rFonts w:hint="eastAsia" w:ascii="仿宋_GB2312" w:hAnsi="仿宋" w:eastAsia="仿宋_GB2312" w:cs="仿宋"/>
          <w:sz w:val="32"/>
          <w:szCs w:val="32"/>
        </w:rPr>
        <w:t>充分挖掘地方独特的人文内涵，举办各类风情美食节，打造一批步行街、特色街区、特色商圈，开设一批岛内居民日用消费品免税店。培育夜间经济，推出灯光秀、烟花秀等夜间活动，鼓励商超延长营业时间，开设深夜营业专区，探索建设无人售货门店、24小时便利店和“深夜食堂”，弥补夜间经济中文化消费的供需缺口，促进消费回流，实现社会消费品零售总额翻一番。支持网络购物、电子竞技、在线服务等新业态发展，鼓励更多的返乡创业青年和本土电商团队，发展一批以短视频、直播电商为主营业务的企业主体，推进线上线下相融合营销方式的变革。把握农村电商机会，实现电商产业升级，助推县域经济更好的发展。培育具有一定规模、获全国性知名平台授权的电子商务产业基地。</w:t>
      </w:r>
    </w:p>
    <w:p>
      <w:pPr>
        <w:pStyle w:val="2"/>
        <w:rPr>
          <w:rFonts w:hint="eastAsia"/>
        </w:rPr>
      </w:pP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b/>
                <w:bCs/>
                <w:sz w:val="24"/>
              </w:rPr>
            </w:pPr>
            <w:r>
              <w:rPr>
                <w:rFonts w:hint="eastAsia" w:ascii="仿宋_GB2312" w:hAnsi="仿宋_GB2312" w:eastAsia="仿宋_GB2312" w:cs="楷体"/>
                <w:b/>
                <w:bCs/>
                <w:sz w:val="24"/>
              </w:rPr>
              <w:t>专栏4：引导发展现代服务重点工程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冷链物流中心</w:t>
            </w:r>
          </w:p>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智慧物流项目</w:t>
            </w:r>
          </w:p>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农业大数据中心</w:t>
            </w:r>
          </w:p>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农产品加工物流大数据中心</w:t>
            </w:r>
          </w:p>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综合物流服务基地</w:t>
            </w:r>
          </w:p>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乡镇农副产品仓储配送项目</w:t>
            </w:r>
          </w:p>
          <w:p>
            <w:pPr>
              <w:pStyle w:val="12"/>
              <w:numPr>
                <w:ilvl w:val="0"/>
                <w:numId w:val="4"/>
              </w:numPr>
              <w:rPr>
                <w:rFonts w:hint="eastAsia" w:ascii="仿宋_GB2312" w:hAnsi="仿宋" w:eastAsia="仿宋_GB2312" w:cs="仿宋"/>
                <w:color w:val="auto"/>
                <w:kern w:val="2"/>
              </w:rPr>
            </w:pPr>
            <w:r>
              <w:rPr>
                <w:rFonts w:hint="eastAsia" w:ascii="仿宋_GB2312" w:hAnsi="仿宋" w:eastAsia="仿宋_GB2312" w:cs="仿宋"/>
                <w:color w:val="auto"/>
                <w:kern w:val="2"/>
              </w:rPr>
              <w:t>创意文化产业中心</w:t>
            </w:r>
          </w:p>
          <w:p>
            <w:pPr>
              <w:pStyle w:val="12"/>
              <w:numPr>
                <w:ilvl w:val="0"/>
                <w:numId w:val="4"/>
              </w:numPr>
              <w:rPr>
                <w:rFonts w:hint="eastAsia" w:ascii="仿宋_GB2312" w:hAnsi="仿宋_GB2312" w:eastAsia="仿宋_GB2312" w:cs="楷体"/>
                <w:color w:val="auto"/>
              </w:rPr>
            </w:pPr>
            <w:r>
              <w:rPr>
                <w:rFonts w:hint="eastAsia" w:ascii="仿宋_GB2312" w:hAnsi="仿宋" w:eastAsia="仿宋_GB2312" w:cs="仿宋"/>
                <w:color w:val="auto"/>
                <w:kern w:val="2"/>
              </w:rPr>
              <w:t>设计产业项目</w:t>
            </w:r>
          </w:p>
          <w:p>
            <w:pPr>
              <w:pStyle w:val="12"/>
              <w:numPr>
                <w:ilvl w:val="0"/>
                <w:numId w:val="4"/>
              </w:numPr>
              <w:rPr>
                <w:rFonts w:hint="eastAsia" w:ascii="仿宋_GB2312" w:hAnsi="仿宋_GB2312" w:eastAsia="仿宋_GB2312" w:cs="楷体"/>
                <w:color w:val="auto"/>
              </w:rPr>
            </w:pPr>
            <w:r>
              <w:rPr>
                <w:rFonts w:hint="eastAsia" w:ascii="仿宋_GB2312" w:hAnsi="仿宋" w:eastAsia="仿宋_GB2312" w:cs="仿宋"/>
                <w:color w:val="auto"/>
                <w:kern w:val="2"/>
              </w:rPr>
              <w:t>影视产业项目</w:t>
            </w:r>
          </w:p>
          <w:p>
            <w:pPr>
              <w:pStyle w:val="12"/>
              <w:numPr>
                <w:ilvl w:val="0"/>
                <w:numId w:val="4"/>
              </w:numPr>
              <w:rPr>
                <w:rFonts w:hint="eastAsia" w:ascii="仿宋_GB2312" w:hAnsi="仿宋_GB2312" w:eastAsia="仿宋_GB2312" w:cs="楷体"/>
                <w:color w:val="auto"/>
              </w:rPr>
            </w:pPr>
            <w:r>
              <w:rPr>
                <w:rFonts w:hint="eastAsia" w:ascii="仿宋_GB2312" w:hAnsi="仿宋" w:eastAsia="仿宋_GB2312" w:cs="仿宋"/>
                <w:color w:val="auto"/>
                <w:kern w:val="2"/>
              </w:rPr>
              <w:t>电商经济总部基地</w:t>
            </w:r>
          </w:p>
          <w:p>
            <w:pPr>
              <w:pStyle w:val="12"/>
              <w:numPr>
                <w:ilvl w:val="0"/>
                <w:numId w:val="4"/>
              </w:numPr>
              <w:rPr>
                <w:rFonts w:hint="eastAsia" w:ascii="仿宋_GB2312" w:hAnsi="仿宋_GB2312" w:eastAsia="仿宋_GB2312" w:cs="楷体"/>
                <w:color w:val="auto"/>
              </w:rPr>
            </w:pPr>
            <w:r>
              <w:rPr>
                <w:rFonts w:hint="eastAsia" w:ascii="仿宋_GB2312" w:hAnsi="仿宋_GB2312" w:eastAsia="仿宋_GB2312" w:cs="楷体"/>
                <w:color w:val="auto"/>
              </w:rPr>
              <w:t>应急物资储备仓储保障基地</w:t>
            </w:r>
          </w:p>
          <w:p>
            <w:pPr>
              <w:pStyle w:val="12"/>
              <w:numPr>
                <w:ilvl w:val="0"/>
                <w:numId w:val="4"/>
              </w:numPr>
              <w:rPr>
                <w:rFonts w:hint="eastAsia" w:ascii="仿宋_GB2312" w:hAnsi="仿宋_GB2312" w:eastAsia="仿宋_GB2312" w:cs="楷体"/>
                <w:color w:val="auto"/>
              </w:rPr>
            </w:pPr>
            <w:r>
              <w:rPr>
                <w:rFonts w:hint="eastAsia" w:ascii="仿宋_GB2312" w:hAnsi="仿宋_GB2312" w:eastAsia="仿宋_GB2312" w:cs="楷体"/>
                <w:color w:val="auto"/>
              </w:rPr>
              <w:t>仓储物流总部基地</w:t>
            </w:r>
          </w:p>
          <w:p>
            <w:pPr>
              <w:pStyle w:val="12"/>
              <w:numPr>
                <w:ilvl w:val="0"/>
                <w:numId w:val="4"/>
              </w:numPr>
              <w:rPr>
                <w:rFonts w:hint="eastAsia" w:ascii="仿宋_GB2312" w:hAnsi="仿宋_GB2312" w:eastAsia="仿宋_GB2312" w:cs="楷体"/>
                <w:color w:val="auto"/>
              </w:rPr>
            </w:pPr>
            <w:r>
              <w:rPr>
                <w:rFonts w:hint="eastAsia" w:ascii="仿宋_GB2312" w:hAnsi="仿宋_GB2312" w:eastAsia="仿宋_GB2312" w:cs="楷体"/>
                <w:color w:val="auto"/>
              </w:rPr>
              <w:t>电子商务和总部结算中心</w:t>
            </w:r>
          </w:p>
          <w:p>
            <w:pPr>
              <w:pStyle w:val="12"/>
              <w:numPr>
                <w:ilvl w:val="0"/>
                <w:numId w:val="4"/>
              </w:numPr>
              <w:rPr>
                <w:rFonts w:hint="eastAsia" w:ascii="仿宋_GB2312" w:hAnsi="仿宋_GB2312" w:eastAsia="仿宋_GB2312" w:cs="楷体"/>
                <w:color w:val="auto"/>
              </w:rPr>
            </w:pPr>
            <w:r>
              <w:rPr>
                <w:rFonts w:hint="eastAsia" w:ascii="仿宋_GB2312" w:hAnsi="仿宋_GB2312" w:eastAsia="仿宋_GB2312" w:cs="楷体"/>
                <w:color w:val="auto"/>
              </w:rPr>
              <w:t>美食文化广场</w:t>
            </w:r>
          </w:p>
          <w:p>
            <w:pPr>
              <w:pStyle w:val="12"/>
              <w:numPr>
                <w:ilvl w:val="0"/>
                <w:numId w:val="4"/>
              </w:numPr>
              <w:rPr>
                <w:rFonts w:hint="eastAsia" w:ascii="仿宋_GB2312" w:hAnsi="仿宋_GB2312" w:eastAsia="仿宋_GB2312" w:cs="楷体"/>
                <w:color w:val="auto"/>
              </w:rPr>
            </w:pPr>
            <w:r>
              <w:rPr>
                <w:rFonts w:hint="eastAsia" w:ascii="仿宋_GB2312" w:hAnsi="仿宋" w:eastAsia="仿宋_GB2312" w:cs="仿宋"/>
                <w:color w:val="auto"/>
                <w:kern w:val="2"/>
              </w:rPr>
              <w:t>城市</w:t>
            </w:r>
            <w:r>
              <w:rPr>
                <w:rFonts w:hint="eastAsia" w:ascii="仿宋_GB2312" w:hAnsi="仿宋_GB2312" w:eastAsia="仿宋_GB2312" w:cs="楷体"/>
                <w:color w:val="auto"/>
              </w:rPr>
              <w:t>商业综合体</w:t>
            </w:r>
          </w:p>
        </w:tc>
      </w:tr>
    </w:tbl>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242" w:name="_Toc16766"/>
      <w:bookmarkStart w:id="243" w:name="_Toc15947"/>
      <w:bookmarkStart w:id="244" w:name="_Toc31753"/>
      <w:bookmarkStart w:id="245" w:name="_Toc54189195"/>
      <w:bookmarkStart w:id="246" w:name="_Toc17702"/>
      <w:bookmarkStart w:id="247" w:name="_Toc18036"/>
      <w:bookmarkStart w:id="248" w:name="_Toc5962"/>
      <w:bookmarkStart w:id="249" w:name="_Toc24562"/>
      <w:bookmarkStart w:id="250" w:name="_Toc17216"/>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第三节  以自贸港建设为动力，加快集聚发展新兴工业</w:t>
      </w:r>
      <w:bookmarkEnd w:id="242"/>
      <w:bookmarkEnd w:id="243"/>
      <w:bookmarkEnd w:id="244"/>
      <w:bookmarkEnd w:id="245"/>
      <w:bookmarkEnd w:id="246"/>
      <w:bookmarkEnd w:id="247"/>
      <w:bookmarkEnd w:id="248"/>
      <w:bookmarkEnd w:id="249"/>
      <w:bookmarkEnd w:id="250"/>
    </w:p>
    <w:p>
      <w:pPr>
        <w:spacing w:line="560" w:lineRule="exact"/>
        <w:ind w:firstLine="641"/>
        <w:rPr>
          <w:rFonts w:hint="eastAsia" w:ascii="仿宋_GB2312" w:hAnsi="仿宋" w:eastAsia="仿宋_GB2312" w:cs="仿宋"/>
          <w:sz w:val="32"/>
          <w:szCs w:val="32"/>
        </w:rPr>
      </w:pPr>
      <w:r>
        <w:rPr>
          <w:rFonts w:hint="eastAsia" w:ascii="仿宋_GB2312" w:hAnsi="仿宋" w:eastAsia="仿宋_GB2312" w:cs="仿宋"/>
          <w:sz w:val="32"/>
          <w:szCs w:val="32"/>
        </w:rPr>
        <w:t>科学规划园区功能，明晰“一园两区”产业定位，激活“一园两区”发展潜力，围绕新型食品加工、生物与新医药、先进制造与自动化等方向，打造区域新兴产业协同集聚地。</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新型食品加工业。</w:t>
      </w:r>
      <w:r>
        <w:rPr>
          <w:rFonts w:hint="eastAsia" w:ascii="仿宋_GB2312" w:hAnsi="仿宋" w:eastAsia="仿宋_GB2312" w:cs="仿宋"/>
          <w:sz w:val="32"/>
          <w:szCs w:val="32"/>
        </w:rPr>
        <w:t>依托海口团餐消费需求，做好冷链等相关配套，发展中央厨房。利用好“两头在外”进口原料“零关税”政策，关注全球热点与高利润领域，结合本地资源，逐步发展自贸类食品精深加工。打造海南中央厨房和全国自贸特色食品加工基地。推动现有农副食品加工企业转型升级，培育热带特色食品精深加工龙头企业，打造农副食品品牌。</w:t>
      </w:r>
    </w:p>
    <w:p>
      <w:pPr>
        <w:spacing w:line="56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生物与新医药。</w:t>
      </w:r>
      <w:r>
        <w:rPr>
          <w:rFonts w:hint="eastAsia" w:ascii="仿宋_GB2312" w:hAnsi="仿宋" w:eastAsia="仿宋_GB2312" w:cs="仿宋"/>
          <w:sz w:val="32"/>
          <w:szCs w:val="32"/>
        </w:rPr>
        <w:t>依托塔岭工业园区位优势和现有医药产业发展基础，以服务海南医药创新成果产业化为目标，从化学药切入，引进和培育医药、医疗器械等龙头企业，推动生物和新医药等发展，打造海南医药创新成果产业化基地。</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先进制造与自动化。</w:t>
      </w:r>
      <w:r>
        <w:rPr>
          <w:rFonts w:hint="eastAsia" w:ascii="仿宋_GB2312" w:hAnsi="仿宋" w:eastAsia="仿宋_GB2312" w:cs="仿宋"/>
          <w:sz w:val="32"/>
          <w:szCs w:val="32"/>
        </w:rPr>
        <w:t>打破传统梯度产业转移惯性思维，依托定安区位优势，推进先进制造业产业链、创新链、要素链高效衔接。围绕产品价值链的高端环节，培育以新材料为重点的先进制造业产业集群。布局电子信息等先进制造业，推动人工智能等高新技术产业发展。依托自由贸易港的制度优势，发展原材料、中间品（零部件）进口加工服务。</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绿色建筑产业。</w:t>
      </w:r>
      <w:r>
        <w:rPr>
          <w:rFonts w:hint="eastAsia" w:ascii="仿宋_GB2312" w:hAnsi="仿宋" w:eastAsia="仿宋_GB2312" w:cs="仿宋"/>
          <w:sz w:val="32"/>
          <w:szCs w:val="32"/>
        </w:rPr>
        <w:t>依托毗邻中线高速区位优势，着力在新竹绿色建筑产业基地打造以发展绿色建材、新型房屋等为主导的产业集群，吸引混凝土结构、钢结构、木结构及装饰装修部品部件生产企业集聚发展，形成产学研检等为一体的全产业链。</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提升园区能级。</w:t>
      </w:r>
      <w:r>
        <w:rPr>
          <w:rFonts w:hint="eastAsia" w:ascii="仿宋_GB2312" w:hAnsi="仿宋" w:eastAsia="仿宋_GB2312" w:cs="仿宋"/>
          <w:sz w:val="32"/>
          <w:szCs w:val="32"/>
        </w:rPr>
        <w:t>做大塔岭工业园区，沿文临高速进一步扩大园区规模，提升现有产业能级，积极布局高新技术产业，集聚创新资源、培育新兴产业、带动新型城镇化发展。以国家级园区的标准，分类别、分阶段推进园区建设，加强园区基础设施及配套，增强产业聚集能力，“十四五”期间争创省级重点产业园区。</w:t>
      </w:r>
      <w:r>
        <w:rPr>
          <w:rFonts w:hint="eastAsia" w:ascii="仿宋_GB2312" w:hAnsi="仿宋_GB2312" w:eastAsia="仿宋_GB2312" w:cs="仿宋_GB2312"/>
          <w:spacing w:val="8"/>
          <w:kern w:val="0"/>
          <w:sz w:val="32"/>
          <w:szCs w:val="32"/>
          <w:shd w:val="clear" w:color="auto" w:fill="FFFFFF"/>
        </w:rPr>
        <w:t>塔岭工业园区通过引进高水平运营团队，以新型食品加工、生物与新医药、先进制造与自动化等为方向，打造区域新兴产业协同集聚地，为区域产业联动和技术合作做好准备，鼓励园区发展电子商务、科技研发、技术推广、商贸服务等，提升现有工业价值链分工地位。</w:t>
      </w:r>
      <w:r>
        <w:rPr>
          <w:rFonts w:hint="eastAsia" w:ascii="仿宋_GB2312" w:hAnsi="仿宋_GB2312" w:eastAsia="仿宋_GB2312" w:cs="仿宋_GB2312"/>
          <w:spacing w:val="8"/>
          <w:sz w:val="32"/>
          <w:szCs w:val="32"/>
          <w:shd w:val="clear" w:color="auto" w:fill="FFFFFF"/>
        </w:rPr>
        <w:t>做大做强新竹绿色建筑产业基地，以龙头项目带动，延伸装配式建筑产业链条，引导行业相关资源集聚，形成研发设计、构件配件制造、检验检测和培训等为一体的新型装配式建筑产业园区。</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b/>
                <w:bCs/>
                <w:sz w:val="24"/>
              </w:rPr>
            </w:pPr>
            <w:r>
              <w:rPr>
                <w:rFonts w:hint="eastAsia" w:ascii="仿宋_GB2312" w:hAnsi="仿宋_GB2312" w:eastAsia="仿宋_GB2312" w:cs="楷体"/>
                <w:b/>
                <w:bCs/>
                <w:sz w:val="24"/>
              </w:rPr>
              <w:t>专栏5：加快集聚发展新兴工业重点工程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环保中央洗涤工厂</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LED研发制造项目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LCD研发制造项目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医疗器械项目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生物医药项目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净菜加工建设项目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高端装备基地项目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装配式建筑及配套产业项目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肉类屠宰及加工项目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肉类食品精深加工建设项目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热带水果深加工项目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智慧能源项目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科技创新中心项目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中央大厨房分拣配送中心项目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德国香肠加工项目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酒店共享服务产业园</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新材料检验检测项目</w:t>
            </w:r>
          </w:p>
          <w:p>
            <w:pPr>
              <w:numPr>
                <w:ilvl w:val="0"/>
                <w:numId w:val="5"/>
              </w:numPr>
              <w:rPr>
                <w:rFonts w:hint="eastAsia" w:ascii="仿宋_GB2312" w:hAnsi="仿宋_GB2312" w:eastAsia="仿宋_GB2312" w:cs="楷体"/>
                <w:sz w:val="24"/>
              </w:rPr>
            </w:pPr>
            <w:r>
              <w:rPr>
                <w:rFonts w:hint="eastAsia" w:ascii="仿宋_GB2312" w:hAnsi="仿宋_GB2312" w:eastAsia="仿宋_GB2312" w:cs="楷体"/>
                <w:sz w:val="24"/>
              </w:rPr>
              <w:t>新材料设计和研发项目</w:t>
            </w:r>
          </w:p>
          <w:p>
            <w:pPr>
              <w:numPr>
                <w:ilvl w:val="0"/>
                <w:numId w:val="5"/>
              </w:numPr>
              <w:rPr>
                <w:rFonts w:hint="eastAsia"/>
                <w:sz w:val="24"/>
              </w:rPr>
            </w:pPr>
            <w:r>
              <w:rPr>
                <w:rFonts w:hint="eastAsia" w:ascii="仿宋_GB2312" w:hAnsi="仿宋" w:eastAsia="仿宋_GB2312" w:cs="仿宋"/>
                <w:kern w:val="0"/>
                <w:sz w:val="24"/>
              </w:rPr>
              <w:t>塔岭园区基础设施建设项目</w:t>
            </w:r>
          </w:p>
          <w:p>
            <w:pPr>
              <w:numPr>
                <w:ilvl w:val="0"/>
                <w:numId w:val="5"/>
              </w:numPr>
              <w:rPr>
                <w:rFonts w:hint="eastAsia"/>
                <w:sz w:val="24"/>
              </w:rPr>
            </w:pPr>
            <w:r>
              <w:rPr>
                <w:rFonts w:hint="eastAsia" w:ascii="仿宋_GB2312" w:hAnsi="仿宋_GB2312" w:eastAsia="仿宋_GB2312" w:cs="楷体"/>
                <w:sz w:val="24"/>
              </w:rPr>
              <w:t>标准厂房建设项目</w:t>
            </w:r>
          </w:p>
        </w:tc>
      </w:tr>
    </w:tbl>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251" w:name="_Toc3040"/>
      <w:bookmarkStart w:id="252" w:name="_Toc12497"/>
      <w:bookmarkStart w:id="253" w:name="_Toc4599"/>
      <w:bookmarkStart w:id="254" w:name="_Toc29847"/>
      <w:bookmarkStart w:id="255" w:name="_Toc14136"/>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第四节  以都市农业为载体，升级发展热带特色高效农业</w:t>
      </w:r>
      <w:bookmarkEnd w:id="251"/>
      <w:bookmarkEnd w:id="252"/>
      <w:bookmarkEnd w:id="253"/>
      <w:bookmarkEnd w:id="254"/>
      <w:bookmarkEnd w:id="255"/>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以提高发展质量和效益为中心，加强农业基础设施建设，加强农业精细化管理，提高农业现代化水平，加快农旅融合，推动农业供给侧结构性改革，促进农民持续较快增收，打造海南都市农业发展区。</w:t>
      </w:r>
      <w:bookmarkStart w:id="256" w:name="_Toc25529"/>
    </w:p>
    <w:p>
      <w:pPr>
        <w:spacing w:line="560" w:lineRule="exact"/>
        <w:ind w:firstLine="642" w:firstLineChars="200"/>
        <w:outlineLvl w:val="2"/>
        <w:rPr>
          <w:rFonts w:hint="eastAsia" w:ascii="仿宋_GB2312" w:hAnsi="宋体" w:eastAsia="仿宋_GB2312" w:cs="宋体"/>
          <w:b/>
          <w:sz w:val="32"/>
          <w:szCs w:val="32"/>
        </w:rPr>
      </w:pPr>
      <w:r>
        <w:rPr>
          <w:rFonts w:hint="eastAsia" w:ascii="仿宋_GB2312" w:hAnsi="宋体" w:eastAsia="仿宋_GB2312" w:cs="宋体"/>
          <w:b/>
          <w:sz w:val="32"/>
          <w:szCs w:val="32"/>
        </w:rPr>
        <w:t>1.优化农业发展布局</w:t>
      </w:r>
      <w:bookmarkEnd w:id="256"/>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优化农业空间布局。</w:t>
      </w:r>
      <w:r>
        <w:rPr>
          <w:rFonts w:hint="eastAsia" w:ascii="仿宋_GB2312" w:hAnsi="仿宋" w:eastAsia="仿宋_GB2312" w:cs="仿宋"/>
          <w:sz w:val="32"/>
          <w:szCs w:val="32"/>
        </w:rPr>
        <w:t>优化“南部热带作物，中部养殖业，北部冬季瓜菜种植为主”的</w:t>
      </w:r>
      <w:r>
        <w:rPr>
          <w:rFonts w:hint="eastAsia" w:ascii="仿宋_GB2312" w:hAnsi="仿宋" w:eastAsia="仿宋_GB2312" w:cs="仿宋"/>
          <w:sz w:val="32"/>
          <w:szCs w:val="32"/>
          <w:shd w:val="clear" w:color="auto" w:fill="FFFFFF"/>
        </w:rPr>
        <w:t>农业区域</w:t>
      </w:r>
      <w:r>
        <w:rPr>
          <w:rFonts w:hint="eastAsia" w:ascii="仿宋_GB2312" w:hAnsi="仿宋" w:eastAsia="仿宋_GB2312" w:cs="仿宋"/>
          <w:sz w:val="32"/>
          <w:szCs w:val="32"/>
        </w:rPr>
        <w:t>布局，重点建设高秀洋、龙州洋、河头洋、封浩洋瓜菜种植基地</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各镇生态养殖园区和果蔬示范园，龙河、翰林、岭口等镇槟榔、橡胶种植产业等优质农产品基地。标准化建设定安黑猪、定安鹅、黄牛等养殖基地，扶持规模化养殖，推进农业规模化、现代化</w:t>
      </w:r>
      <w:r>
        <w:rPr>
          <w:rFonts w:hint="eastAsia" w:ascii="仿宋_GB2312" w:hAnsi="仿宋" w:eastAsia="仿宋_GB2312" w:cs="仿宋"/>
          <w:sz w:val="32"/>
          <w:szCs w:val="32"/>
          <w:shd w:val="clear" w:color="auto" w:fill="FFFFFF"/>
        </w:rPr>
        <w:t>。</w:t>
      </w:r>
    </w:p>
    <w:p>
      <w:pPr>
        <w:spacing w:line="560" w:lineRule="exact"/>
        <w:ind w:firstLine="642"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优化农业产业布局。</w:t>
      </w:r>
      <w:r>
        <w:rPr>
          <w:rFonts w:hint="eastAsia" w:ascii="仿宋_GB2312" w:hAnsi="仿宋" w:eastAsia="仿宋_GB2312" w:cs="仿宋"/>
          <w:sz w:val="32"/>
          <w:szCs w:val="32"/>
        </w:rPr>
        <w:t>在海口周边，以利用国资国企成立“菜篮子”公司为抓手，立足保障“菜篮子”、“果盘子”供给和农业生活、生态等多重功能发挥，建设“菜篮子”基地，谋划建设农产品批发市场，并重点布局发展集约化、设施化、高产出、多功能的都市型农业，推动农旅融合，发展集休闲观光、采摘、科普教育为一体的都市休闲农业</w:t>
      </w:r>
      <w:r>
        <w:rPr>
          <w:rFonts w:hint="eastAsia" w:ascii="仿宋_GB2312" w:hAnsi="仿宋" w:eastAsia="仿宋_GB2312" w:cs="仿宋"/>
          <w:sz w:val="32"/>
          <w:szCs w:val="32"/>
          <w:shd w:val="clear" w:color="auto" w:fill="FFFFFF"/>
        </w:rPr>
        <w:t>，并</w:t>
      </w:r>
      <w:r>
        <w:rPr>
          <w:rFonts w:hint="eastAsia" w:ascii="仿宋_GB2312" w:hAnsi="仿宋" w:eastAsia="仿宋_GB2312" w:cs="仿宋"/>
          <w:sz w:val="32"/>
          <w:szCs w:val="32"/>
        </w:rPr>
        <w:t>联动海口、澄迈、文昌等周边地区，推进人才、技术、金融一体化，共同构建省会周边都市农业经济圈；在封浩洋等主要粮食生产功能区，全力发展粮油产业，加大政策扶持和产业化开发，确保粮食安全；在黄竹等热带水果产区，重点发展热带水果主导产业，加强农业与塔岭园区衔接配套，延长产业链、价值链；在南丽湖、文笔峰等旅游资源相对集中的地区，充分利用气候资源独特、生态环境优良、地方特色明显的优势，重点发展休闲农业、观光农业，推进农业与旅游业的融合，提高农业效益。</w:t>
      </w:r>
    </w:p>
    <w:p>
      <w:pPr>
        <w:spacing w:line="560" w:lineRule="exact"/>
        <w:ind w:firstLine="642" w:firstLineChars="200"/>
        <w:outlineLvl w:val="2"/>
        <w:rPr>
          <w:rFonts w:ascii="仿宋_GB2312" w:hAnsi="宋体" w:eastAsia="仿宋_GB2312" w:cs="宋体"/>
          <w:b/>
          <w:sz w:val="32"/>
          <w:szCs w:val="32"/>
        </w:rPr>
      </w:pPr>
      <w:r>
        <w:rPr>
          <w:rFonts w:hint="eastAsia" w:ascii="仿宋_GB2312" w:hAnsi="宋体" w:eastAsia="仿宋_GB2312" w:cs="宋体"/>
          <w:b/>
          <w:sz w:val="32"/>
          <w:szCs w:val="32"/>
        </w:rPr>
        <w:t>2.保障粮食安全和重要农产品稳定供给</w:t>
      </w:r>
    </w:p>
    <w:p>
      <w:pPr>
        <w:spacing w:line="560" w:lineRule="exact"/>
        <w:ind w:firstLine="640"/>
        <w:rPr>
          <w:rFonts w:hint="eastAsia" w:eastAsia="仿宋_GB2312"/>
        </w:rPr>
      </w:pPr>
      <w:r>
        <w:rPr>
          <w:rFonts w:hint="eastAsia" w:ascii="仿宋_GB2312" w:hAnsi="仿宋" w:eastAsia="仿宋_GB2312" w:cs="仿宋"/>
          <w:sz w:val="32"/>
          <w:szCs w:val="32"/>
        </w:rPr>
        <w:t>落实最严格的耕地保护制度，严守永久基本农田保护红线，合理保障农业发展空间，稳定粮食播种面积，坚决遏制耕地“非农化”、防止耕地“非粮化”。优先保障水稻、天然橡胶、猪肉等重要农产品供给，深度推进“菜篮子”工程。加强农田水利等基础设施建设，持续加大农田管护投入，健全重要农产品的利益补偿机制。</w:t>
      </w:r>
    </w:p>
    <w:p>
      <w:pPr>
        <w:spacing w:line="560" w:lineRule="exact"/>
        <w:ind w:firstLine="642" w:firstLineChars="200"/>
        <w:outlineLvl w:val="2"/>
        <w:rPr>
          <w:rFonts w:hint="eastAsia" w:ascii="仿宋_GB2312" w:hAnsi="宋体" w:eastAsia="仿宋_GB2312" w:cs="宋体"/>
          <w:b/>
          <w:sz w:val="32"/>
          <w:szCs w:val="32"/>
        </w:rPr>
      </w:pPr>
      <w:bookmarkStart w:id="257" w:name="_Toc14946"/>
      <w:r>
        <w:rPr>
          <w:rFonts w:hint="eastAsia" w:ascii="仿宋_GB2312" w:hAnsi="宋体" w:eastAsia="仿宋_GB2312" w:cs="宋体"/>
          <w:b/>
          <w:sz w:val="32"/>
          <w:szCs w:val="32"/>
        </w:rPr>
        <w:t>3.</w:t>
      </w:r>
      <w:bookmarkEnd w:id="257"/>
      <w:r>
        <w:rPr>
          <w:rFonts w:hint="eastAsia" w:ascii="仿宋_GB2312" w:hAnsi="宋体" w:eastAsia="仿宋_GB2312" w:cs="宋体"/>
          <w:b/>
          <w:sz w:val="32"/>
          <w:szCs w:val="32"/>
        </w:rPr>
        <w:t>加快农业产业升级</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（1）做强做优特色农业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着力提高农业特色化、精品化、标准化、设施化、生态化水平，做强做优冬季瓜菜、热带水果、禽畜养殖等产业。</w:t>
      </w:r>
    </w:p>
    <w:p>
      <w:pPr>
        <w:widowControl/>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因地制宜优化种植业结构。定城镇、岭口镇以瓜菜种植为主；黄竹镇、富文镇、龙门镇在强化莲雾、荔枝、菠萝蜜种植的基础上，大力发展柠檬、榴莲蜜、蜜柚、尖椒等的种植；雷鸣镇、翰林镇、龙湖镇在当前种植业基础上引导发展毛豆、油茶、铁皮石斛的种植。依托龙河镇、翰林镇、岭口镇的大规模槟榔种植园，形成槟榔种植-加工-销售的产业链。引进和培育“名、特、优、稀”花卉品种，推进现代化的花卉生产，扩大经营规模。加大山柚、沉香等珍稀乡土树种的保护力度，做好良种苗木培育。促进林下经济效益提升，开展林下种养等立体复合经营。有序引导县域高标准农田水利建设项目和水果瓜菜冷库项目向集聚提升类村庄集聚，同时配套建设农田水利、农产品流通、农业教育、科研、技术推广和气象基础等设施。加大田洋土地平整，提高农业机械化水平。</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合理优化养殖业结构。加大黄牛养殖布局，中部区域建设黄牛养殖基地，提升养殖技术，增加黄牛肉附加值。加强黑猪品种遗传资源研发与保护，鼓励扩大黑猪养殖，在新竹、富文、雷鸣等镇打造定安黑猪专业养殖集群，打造海南定安黑猪知名品牌，推进肉禽新品种选育和良种工程建设，同时优化鹅、鸡、鸭等其他肉类养殖布局，推进标准化养殖。推进水产养殖结构调整。</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（2）大力发展农业新兴产业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支持推广热带高效农业新品种、新技术，大力培育热带生物农业、智慧农业等新兴产业，激活农业发展活力，促进农业高质量发展。探索打造南丽湖会展农业产业链，培育定制农业、众筹农业、功能农业等新业态。深入挖掘田园景观、自然生态，结合农耕文化、农事节庆活动和农业设施，通过生产创意、产品创意和品牌创意，大力发展创意农业。将百里百村等传统村落特色与农业景观相结合，打造生态农业观光示范基地和科普教育基地等，提高农业的文化软实力。</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（3）加快产业融合发展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粮经饲统筹、农林牧渔结合、种养加一体、农旅融合”发展思路，探索多元产业融合模式，促进农业与二三产业深度融合发展，构建现代农业新型产业融合体系。统筹优化农业生产物质资源要素及时间、空间等布局，加快种养业内部各产业间融合发展。积极发展农产品精深加工和物流业，提升附加值，引导加工企业集聚发展。大力发展观光农业、体验农业、创意农业等，整合农业资源和旅游资源，挖掘传统农耕文化内涵，加快农业与旅游、教育、文化、健康养老等相关产业深度互融，激发新的消费市场。加强农产品冷链物流体系建设，发展代耕代种、统防统治、烘干储藏等生产性服务，打造农产品交易中心，培育和打响一批“乡字号”“土字号”乡土特色品牌。</w:t>
      </w:r>
    </w:p>
    <w:p>
      <w:pPr>
        <w:spacing w:line="560" w:lineRule="exact"/>
        <w:ind w:firstLine="642" w:firstLineChars="200"/>
        <w:outlineLvl w:val="2"/>
        <w:rPr>
          <w:rFonts w:hint="eastAsia" w:ascii="仿宋_GB2312" w:hAnsi="宋体" w:eastAsia="仿宋_GB2312" w:cs="宋体"/>
          <w:b/>
          <w:sz w:val="32"/>
          <w:szCs w:val="32"/>
        </w:rPr>
      </w:pPr>
      <w:bookmarkStart w:id="258" w:name="_Toc26698"/>
      <w:r>
        <w:rPr>
          <w:rFonts w:hint="eastAsia" w:ascii="仿宋_GB2312" w:hAnsi="宋体" w:eastAsia="仿宋_GB2312" w:cs="宋体"/>
          <w:b/>
          <w:sz w:val="32"/>
          <w:szCs w:val="32"/>
        </w:rPr>
        <w:t>4.发展生态循环农业</w:t>
      </w:r>
      <w:bookmarkEnd w:id="258"/>
    </w:p>
    <w:p>
      <w:pPr>
        <w:spacing w:line="560" w:lineRule="exact"/>
        <w:ind w:firstLine="643"/>
        <w:rPr>
          <w:rFonts w:hint="eastAsia" w:ascii="仿宋_GB2312" w:hAnsi="仿宋" w:eastAsia="仿宋_GB2312" w:cs="仿宋"/>
          <w:sz w:val="32"/>
          <w:szCs w:val="32"/>
        </w:rPr>
      </w:pPr>
      <w:r>
        <w:rPr>
          <w:rFonts w:hint="eastAsia" w:ascii="仿宋_GB2312" w:hAnsi="仿宋" w:eastAsia="仿宋_GB2312" w:cs="仿宋"/>
          <w:sz w:val="32"/>
          <w:szCs w:val="32"/>
        </w:rPr>
        <w:t>落实畜禽养殖和水产养殖禁养区划定要求，统筹推进农业水、气、土污染综合治理。鼓励畜禽的规模化和生态化养殖，建立畜禽粪便、沼液沼渣的监控体系，鼓励建立畜禽粪污回收公司，实现畜禽养殖污染物全收集、全处理、全达标。加强对小型养殖场和散养户的污染治理，推广养殖小区模式，鼓励支持规模化畜禽养殖场和养殖小区的畜禽粪便处理利用设施建设。</w:t>
      </w:r>
      <w:r>
        <w:rPr>
          <w:rFonts w:hint="eastAsia" w:ascii="仿宋" w:hAnsi="仿宋" w:eastAsia="仿宋" w:cs="仿宋_GB2312"/>
          <w:sz w:val="32"/>
          <w:szCs w:val="32"/>
        </w:rPr>
        <w:t>推动水产养殖向集约化、标准化、产业化及生态化方向发展。</w:t>
      </w:r>
      <w:r>
        <w:rPr>
          <w:rFonts w:hint="eastAsia" w:ascii="仿宋_GB2312" w:hAnsi="仿宋" w:eastAsia="仿宋_GB2312" w:cs="仿宋"/>
          <w:sz w:val="32"/>
          <w:szCs w:val="32"/>
        </w:rPr>
        <w:t xml:space="preserve">提高生物肥料、高效低毒农药等使用范围，鼓励采用农业新技术、新设施、绿色农资等；组织开展现代生态循环农业示范区创建推行动，建设一批示范村、示范主体。加强农业废弃物资源化利用，探索构建“农户企业小循环、乡镇中循环、县域大循环”三级循环，建立政府主导、企业实施、农户参与的田间废弃物回收利用机制与网络。加快建立农药化肥废弃包装物、废旧农膜、动植物等回收和无害化处理体系，全面构建现代生态循环农业制度体系和长效机制。 </w:t>
      </w:r>
    </w:p>
    <w:p>
      <w:pPr>
        <w:spacing w:line="560" w:lineRule="exact"/>
        <w:ind w:firstLine="642" w:firstLineChars="200"/>
        <w:outlineLvl w:val="2"/>
        <w:rPr>
          <w:rFonts w:hint="eastAsia" w:ascii="仿宋_GB2312" w:hAnsi="宋体" w:eastAsia="仿宋_GB2312" w:cs="宋体"/>
          <w:b/>
          <w:sz w:val="32"/>
          <w:szCs w:val="32"/>
        </w:rPr>
      </w:pPr>
      <w:bookmarkStart w:id="259" w:name="_Toc26455"/>
      <w:r>
        <w:rPr>
          <w:rFonts w:hint="eastAsia" w:ascii="仿宋_GB2312" w:hAnsi="宋体" w:eastAsia="仿宋_GB2312" w:cs="宋体"/>
          <w:b/>
          <w:sz w:val="32"/>
          <w:szCs w:val="32"/>
        </w:rPr>
        <w:t>5.实施农产品品牌战略</w:t>
      </w:r>
      <w:bookmarkEnd w:id="259"/>
    </w:p>
    <w:p>
      <w:pPr>
        <w:widowControl/>
        <w:spacing w:line="560" w:lineRule="exact"/>
        <w:ind w:firstLine="643"/>
        <w:rPr>
          <w:rFonts w:hint="eastAsia" w:ascii="仿宋_GB2312" w:hAnsi="仿宋" w:eastAsia="仿宋_GB2312" w:cs="仿宋"/>
          <w:sz w:val="32"/>
          <w:szCs w:val="32"/>
        </w:rPr>
      </w:pPr>
      <w:r>
        <w:rPr>
          <w:rFonts w:hint="eastAsia" w:ascii="仿宋_GB2312" w:hAnsi="仿宋" w:eastAsia="仿宋_GB2312" w:cs="仿宋"/>
          <w:sz w:val="32"/>
          <w:szCs w:val="32"/>
        </w:rPr>
        <w:t>加大投入，扶持建设定安优质农产品统一品牌。充分利用定安的富硒资源，以“定安富硒”为主打品牌，依法加强对标志使用的管理和保护，在富硒大米的基础上开发其他富硒类食品打造“富硒大礼包”品牌群。定安粽子、定安黑猪、定安鹅、定安富硒大米已获得国家地理标志农产品，进一步加强品牌建设，推进新竹芋头、定安圣女果、定安菠萝蜜、定安花生油、冷泉阉鸡、莲雾等特色农产品品牌培育。积极开展农产品品牌形象宣传推介，组织农业企业参与农博会、展销会和线上活动，努力提高各地名特优农产品的知名度和美誉度。积极推进农产品“三品一标”认证和国际认证。加强质量监管，建设品牌标准化生产基地。进一步加强特色热带水果的商标注册、质量追溯体系的建设和外包装的设计，提升特色热带水果的品牌直观形象，拓展销路，强化与其他产业之间的联系，推进产业融合。</w:t>
      </w:r>
    </w:p>
    <w:p>
      <w:pPr>
        <w:spacing w:line="560" w:lineRule="exact"/>
        <w:ind w:firstLine="642" w:firstLineChars="200"/>
        <w:outlineLvl w:val="2"/>
        <w:rPr>
          <w:rFonts w:hint="eastAsia" w:ascii="仿宋_GB2312" w:hAnsi="宋体" w:eastAsia="仿宋_GB2312" w:cs="宋体"/>
          <w:b/>
          <w:sz w:val="32"/>
          <w:szCs w:val="32"/>
        </w:rPr>
      </w:pPr>
      <w:r>
        <w:rPr>
          <w:rFonts w:hint="eastAsia" w:ascii="仿宋_GB2312" w:hAnsi="宋体" w:eastAsia="仿宋_GB2312" w:cs="宋体"/>
          <w:b/>
          <w:sz w:val="32"/>
          <w:szCs w:val="32"/>
        </w:rPr>
        <w:t>6.强化农业科技创新</w:t>
      </w:r>
    </w:p>
    <w:p>
      <w:pPr>
        <w:pStyle w:val="12"/>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联合科研单位，围绕农业、林业发展的重大需求和关键技术问题，全面推行以任务分工为基础，以权益合理分配和资源信息共享为核心，以项目为纽带的协作机制。收集和分析瓜菜、热带水果、热带作物、畜牧、林业等产业及其技术发展动态与信息，建立以企业为主体的农业科技成果应用体系，重点开展热带特色种质资源收集与鉴定、优质特色农作物新品种的选育、畜禽优良品种选育和健康养殖、植物保护以及病虫害综合防治新技术推广。发挥乡镇农业服务中心的作用，加大农民种养殖技术培训。</w:t>
      </w:r>
    </w:p>
    <w:p>
      <w:pPr>
        <w:spacing w:line="560" w:lineRule="exact"/>
        <w:ind w:firstLine="642" w:firstLineChars="200"/>
        <w:outlineLvl w:val="2"/>
        <w:rPr>
          <w:rFonts w:hint="eastAsia" w:ascii="仿宋_GB2312" w:hAnsi="宋体" w:eastAsia="仿宋_GB2312" w:cs="宋体"/>
          <w:b/>
          <w:sz w:val="32"/>
          <w:szCs w:val="32"/>
        </w:rPr>
      </w:pPr>
      <w:r>
        <w:rPr>
          <w:rFonts w:hint="eastAsia" w:ascii="仿宋_GB2312" w:hAnsi="宋体" w:eastAsia="仿宋_GB2312" w:cs="宋体"/>
          <w:b/>
          <w:sz w:val="32"/>
          <w:szCs w:val="32"/>
        </w:rPr>
        <w:t>7.打造农业对外开放格局</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发挥海南自由贸易港优势，扩大热带农业领域对外开放，主动加强“一带一路”沿线国家合作，全面实施“引进来，走出去”战略，以市场需求为引导，安全质量为核心，技术创新为动力，大力培育龙头企业，争取建设国际化标准农产品生产示范区（基地）。加大农产品国际营销，充分利用国内外各种农产品交易展会资源，扩大具有优势的定安黑猪、富硒农产品等特色农产品出口。</w:t>
      </w:r>
    </w:p>
    <w:p>
      <w:pPr>
        <w:spacing w:line="560" w:lineRule="exact"/>
        <w:ind w:firstLine="642" w:firstLineChars="200"/>
        <w:outlineLvl w:val="2"/>
        <w:rPr>
          <w:rFonts w:hint="eastAsia" w:ascii="仿宋_GB2312" w:hAnsi="宋体" w:eastAsia="仿宋_GB2312" w:cs="宋体"/>
          <w:b/>
          <w:sz w:val="32"/>
          <w:szCs w:val="32"/>
        </w:rPr>
      </w:pPr>
      <w:r>
        <w:rPr>
          <w:rFonts w:hint="eastAsia" w:ascii="仿宋_GB2312" w:hAnsi="宋体" w:eastAsia="仿宋_GB2312" w:cs="宋体"/>
          <w:b/>
          <w:sz w:val="32"/>
          <w:szCs w:val="32"/>
        </w:rPr>
        <w:t>8.实施“智慧农业”再造产业工程</w:t>
      </w:r>
    </w:p>
    <w:p>
      <w:pPr>
        <w:pStyle w:val="12"/>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着眼于集约化生产、智能化远程控制、精细化调节、科学化管理、数字化分析、扁平化管理的发展需要，建设农业大数据平台，建立农业数据智能化采集、处理、应用、服务、共享体系，实施“智慧农业”再造传统农业工程，从生产、加工、物流、营销、服务等环节提升传统产业链，全面提高农业生产效率，促进数字技术与农业生产、管理、营销、服务全产业链“生态融合”和“基因重组”，提升农业竞争优势，打造智慧农业技术应用示范样板。建立完善农副产品产销信息监测和质量安全追溯公共服务平台，开展农产品产销对接。推进电子商务城乡全覆盖，完善电子商务内涵，科学设置村级电子商务站点，鼓励快递企业延伸乡村物流服务网络，构建精准营销体系，提升物流服务水平，推动农产品进城、工业品下乡双向流通，促进工农产品产地与销售市场精准对接，实现产业线下线上对接。鼓励农业龙头企业积极发展现代设施农业、精准农业、感知农业，实现农业场景化、农产品可追溯，构建智慧农业生产体系。</w:t>
      </w:r>
    </w:p>
    <w:tbl>
      <w:tblPr>
        <w:tblStyle w:val="8"/>
        <w:tblpPr w:leftFromText="180" w:rightFromText="180" w:vertAnchor="text" w:horzAnchor="page" w:tblpX="2154" w:tblpY="125"/>
        <w:tblOverlap w:val="never"/>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b/>
                <w:bCs/>
                <w:sz w:val="24"/>
              </w:rPr>
            </w:pPr>
            <w:r>
              <w:rPr>
                <w:rFonts w:hint="eastAsia" w:ascii="仿宋_GB2312" w:hAnsi="仿宋_GB2312" w:eastAsia="仿宋_GB2312" w:cs="楷体"/>
                <w:b/>
                <w:bCs/>
                <w:sz w:val="24"/>
              </w:rPr>
              <w:t>专栏6：升级发展热带特色高效农业重点工程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6"/>
              </w:numPr>
              <w:rPr>
                <w:rFonts w:hint="eastAsia" w:ascii="仿宋_GB2312" w:hAnsi="仿宋" w:eastAsia="仿宋_GB2312" w:cs="仿宋"/>
                <w:kern w:val="0"/>
                <w:sz w:val="24"/>
              </w:rPr>
            </w:pPr>
            <w:r>
              <w:rPr>
                <w:rFonts w:hint="eastAsia" w:ascii="仿宋_GB2312" w:hAnsi="仿宋" w:eastAsia="仿宋_GB2312" w:cs="仿宋"/>
                <w:kern w:val="0"/>
                <w:sz w:val="24"/>
              </w:rPr>
              <w:t>常年瓜菜基地项目</w:t>
            </w:r>
          </w:p>
          <w:p>
            <w:pPr>
              <w:numPr>
                <w:ilvl w:val="0"/>
                <w:numId w:val="6"/>
              </w:numPr>
              <w:rPr>
                <w:rFonts w:hint="eastAsia" w:ascii="仿宋_GB2312" w:hAnsi="仿宋" w:eastAsia="仿宋_GB2312" w:cs="仿宋"/>
                <w:kern w:val="0"/>
                <w:sz w:val="24"/>
              </w:rPr>
            </w:pPr>
            <w:r>
              <w:rPr>
                <w:rFonts w:hint="eastAsia" w:ascii="仿宋_GB2312" w:hAnsi="仿宋" w:eastAsia="仿宋_GB2312" w:cs="仿宋"/>
                <w:kern w:val="0"/>
                <w:sz w:val="24"/>
              </w:rPr>
              <w:t>海南稻虾综合种养项目</w:t>
            </w:r>
          </w:p>
          <w:p>
            <w:pPr>
              <w:numPr>
                <w:ilvl w:val="0"/>
                <w:numId w:val="6"/>
              </w:numPr>
              <w:rPr>
                <w:rFonts w:hint="eastAsia"/>
              </w:rPr>
            </w:pPr>
            <w:r>
              <w:rPr>
                <w:rFonts w:hint="eastAsia" w:ascii="仿宋_GB2312" w:hAnsi="仿宋" w:eastAsia="仿宋_GB2312" w:cs="仿宋"/>
                <w:kern w:val="0"/>
                <w:sz w:val="24"/>
              </w:rPr>
              <w:t>黑猪规模化养殖基地</w:t>
            </w:r>
          </w:p>
          <w:p>
            <w:pPr>
              <w:numPr>
                <w:ilvl w:val="0"/>
                <w:numId w:val="6"/>
              </w:numPr>
              <w:rPr>
                <w:rFonts w:hint="eastAsia" w:ascii="仿宋_GB2312" w:hAnsi="仿宋" w:eastAsia="仿宋_GB2312" w:cs="仿宋"/>
                <w:kern w:val="0"/>
                <w:sz w:val="24"/>
              </w:rPr>
            </w:pPr>
            <w:r>
              <w:rPr>
                <w:rFonts w:hint="eastAsia" w:ascii="仿宋_GB2312" w:hAnsi="仿宋" w:eastAsia="仿宋_GB2312" w:cs="仿宋"/>
                <w:kern w:val="0"/>
                <w:sz w:val="24"/>
              </w:rPr>
              <w:t>养牛基地</w:t>
            </w:r>
          </w:p>
          <w:p>
            <w:pPr>
              <w:numPr>
                <w:ilvl w:val="0"/>
                <w:numId w:val="6"/>
              </w:numPr>
              <w:rPr>
                <w:rFonts w:hint="eastAsia" w:ascii="仿宋_GB2312" w:hAnsi="仿宋" w:eastAsia="仿宋_GB2312" w:cs="仿宋"/>
                <w:kern w:val="0"/>
                <w:sz w:val="24"/>
              </w:rPr>
            </w:pPr>
            <w:r>
              <w:rPr>
                <w:rFonts w:hint="eastAsia" w:ascii="仿宋_GB2312" w:hAnsi="仿宋" w:eastAsia="仿宋_GB2312" w:cs="仿宋"/>
                <w:kern w:val="0"/>
                <w:sz w:val="24"/>
              </w:rPr>
              <w:t>现代生态循环农业示范区工程</w:t>
            </w:r>
          </w:p>
          <w:p>
            <w:pPr>
              <w:numPr>
                <w:ilvl w:val="0"/>
                <w:numId w:val="6"/>
              </w:numPr>
              <w:rPr>
                <w:rFonts w:hint="eastAsia"/>
              </w:rPr>
            </w:pPr>
            <w:r>
              <w:rPr>
                <w:rFonts w:hint="eastAsia" w:ascii="仿宋_GB2312" w:hAnsi="仿宋" w:eastAsia="仿宋_GB2312" w:cs="仿宋"/>
                <w:kern w:val="0"/>
                <w:sz w:val="24"/>
              </w:rPr>
              <w:t>富硒特色农产品基地</w:t>
            </w:r>
          </w:p>
        </w:tc>
      </w:tr>
    </w:tbl>
    <w:p>
      <w:pPr>
        <w:pStyle w:val="12"/>
        <w:spacing w:before="239" w:beforeLines="50" w:after="239" w:afterLines="50" w:line="560" w:lineRule="exact"/>
        <w:jc w:val="center"/>
        <w:outlineLvl w:val="0"/>
        <w:rPr>
          <w:rFonts w:hint="eastAsia" w:ascii="黑体" w:hAnsi="黑体" w:eastAsia="黑体"/>
          <w:bCs/>
          <w:color w:val="auto"/>
          <w:sz w:val="32"/>
          <w:szCs w:val="32"/>
        </w:rPr>
      </w:pPr>
      <w:bookmarkStart w:id="260" w:name="_Toc18817"/>
      <w:bookmarkStart w:id="261" w:name="_Toc24951"/>
      <w:bookmarkStart w:id="262" w:name="_Toc54189162"/>
      <w:bookmarkStart w:id="263" w:name="_Toc54189196"/>
      <w:bookmarkStart w:id="264" w:name="_Toc16105"/>
      <w:bookmarkStart w:id="265" w:name="_Toc4240"/>
      <w:bookmarkStart w:id="266" w:name="_Toc3574"/>
      <w:bookmarkStart w:id="267" w:name="_Toc12102"/>
      <w:bookmarkStart w:id="268" w:name="_Toc991"/>
      <w:bookmarkStart w:id="269" w:name="_Toc29513"/>
      <w:bookmarkStart w:id="270" w:name="_Toc31520"/>
      <w:bookmarkStart w:id="271" w:name="_Toc23287"/>
      <w:bookmarkStart w:id="272" w:name="_Toc27826"/>
    </w:p>
    <w:p>
      <w:pPr>
        <w:pStyle w:val="12"/>
        <w:spacing w:before="239" w:beforeLines="50" w:after="239" w:afterLines="50" w:line="560" w:lineRule="exact"/>
        <w:ind w:left="0" w:leftChars="0" w:firstLine="0" w:firstLineChars="0"/>
        <w:jc w:val="center"/>
        <w:outlineLvl w:val="0"/>
        <w:rPr>
          <w:rFonts w:hint="eastAsia" w:ascii="黑体" w:hAnsi="黑体" w:eastAsia="黑体"/>
          <w:bCs/>
          <w:color w:val="auto"/>
          <w:sz w:val="32"/>
          <w:szCs w:val="32"/>
        </w:rPr>
      </w:pPr>
      <w:r>
        <w:rPr>
          <w:rFonts w:hint="eastAsia" w:ascii="黑体" w:hAnsi="黑体" w:eastAsia="黑体"/>
          <w:bCs/>
          <w:color w:val="auto"/>
          <w:sz w:val="32"/>
          <w:szCs w:val="32"/>
        </w:rPr>
        <w:t>第七章  完善五网基础设施，建设智慧定安</w:t>
      </w:r>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560" w:lineRule="exact"/>
        <w:ind w:firstLine="640" w:firstLineChars="200"/>
        <w:rPr>
          <w:rFonts w:ascii="仿宋_GB2312" w:hAnsi="仿宋_GB2312" w:eastAsia="仿宋_GB2312" w:cs="楷体"/>
          <w:sz w:val="32"/>
          <w:szCs w:val="32"/>
        </w:rPr>
      </w:pPr>
      <w:bookmarkStart w:id="273" w:name="_Toc54189197"/>
      <w:bookmarkStart w:id="274" w:name="_Toc10359"/>
      <w:bookmarkStart w:id="275" w:name="_Toc15809"/>
      <w:bookmarkStart w:id="276" w:name="_Toc7920"/>
      <w:bookmarkStart w:id="277" w:name="_Toc32649"/>
      <w:bookmarkStart w:id="278" w:name="_Toc28904"/>
      <w:bookmarkStart w:id="279" w:name="_Toc7367"/>
      <w:r>
        <w:rPr>
          <w:rFonts w:hint="eastAsia" w:ascii="仿宋_GB2312" w:hAnsi="仿宋_GB2312" w:eastAsia="仿宋_GB2312" w:cs="楷体"/>
          <w:sz w:val="32"/>
          <w:szCs w:val="32"/>
        </w:rPr>
        <w:t>按照适度超前、互联互通、安全高效、智能绿色的原则，加快全县路网、光网、气网、电网、水网等重大基础设施的优化布局、实施建设，构建互联互通、便捷高效的综合交通网络体系。</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280" w:name="_Toc6821"/>
      <w:bookmarkStart w:id="281" w:name="_Toc25854"/>
      <w:r>
        <w:rPr>
          <w:rFonts w:hint="eastAsia" w:ascii="楷体_GB2312" w:hAnsi="楷体" w:eastAsia="楷体_GB2312" w:cs="楷体"/>
          <w:bCs/>
          <w:sz w:val="32"/>
          <w:szCs w:val="32"/>
        </w:rPr>
        <w:t>第一节  区域互联，构建现代交通体系</w:t>
      </w:r>
      <w:bookmarkEnd w:id="273"/>
      <w:bookmarkEnd w:id="274"/>
      <w:bookmarkEnd w:id="275"/>
      <w:bookmarkEnd w:id="276"/>
      <w:bookmarkEnd w:id="277"/>
      <w:bookmarkEnd w:id="278"/>
      <w:bookmarkEnd w:id="279"/>
      <w:bookmarkEnd w:id="280"/>
      <w:bookmarkEnd w:id="281"/>
    </w:p>
    <w:p>
      <w:pPr>
        <w:spacing w:line="560" w:lineRule="exact"/>
        <w:ind w:firstLine="640" w:firstLineChars="200"/>
        <w:rPr>
          <w:rFonts w:hint="eastAsia" w:ascii="仿宋_GB2312" w:hAnsi="仿宋_GB2312" w:eastAsia="仿宋_GB2312" w:cs="仿宋_GB2312"/>
          <w:sz w:val="32"/>
          <w:szCs w:val="32"/>
        </w:rPr>
      </w:pPr>
      <w:bookmarkStart w:id="282" w:name="OLE_LINK2"/>
      <w:r>
        <w:rPr>
          <w:rFonts w:hint="eastAsia" w:ascii="仿宋_GB2312" w:hAnsi="仿宋_GB2312" w:eastAsia="仿宋_GB2312" w:cs="仿宋_GB2312"/>
          <w:sz w:val="32"/>
          <w:szCs w:val="32"/>
        </w:rPr>
        <w:t>加快形成定安“五纵一横”交通网</w:t>
      </w:r>
      <w:bookmarkEnd w:id="282"/>
      <w:r>
        <w:rPr>
          <w:rFonts w:hint="eastAsia" w:ascii="仿宋_GB2312" w:hAnsi="仿宋_GB2312" w:eastAsia="仿宋_GB2312" w:cs="仿宋_GB2312"/>
          <w:sz w:val="32"/>
          <w:szCs w:val="32"/>
        </w:rPr>
        <w:t>，打造对外交通便利、对内衔接紧密、村镇道路完善、城乡公交一体化的现代化交通体系。</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增强对外交通联系。</w:t>
      </w:r>
      <w:r>
        <w:rPr>
          <w:rFonts w:hint="eastAsia" w:ascii="仿宋_GB2312" w:hAnsi="仿宋_GB2312" w:eastAsia="仿宋_GB2312" w:cs="仿宋_GB2312"/>
          <w:sz w:val="32"/>
          <w:szCs w:val="32"/>
        </w:rPr>
        <w:t>加快推进文临高速、海南中线高铁定安段和“海澄文定”城际轨道交通建设，建设海口羊山大道至定安母瑞山快速干道，实施仙沟互通和南丽湖互通改造，不断完善“海澄文定”综合经济圈路网，提升东西向交通连接，增强与周边市县互联互通。</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形成便捷高效的对内联络通道。</w:t>
      </w:r>
      <w:r>
        <w:rPr>
          <w:rFonts w:hint="eastAsia" w:ascii="仿宋_GB2312" w:hAnsi="仿宋_GB2312" w:eastAsia="仿宋_GB2312" w:cs="仿宋_GB2312"/>
          <w:sz w:val="32"/>
          <w:szCs w:val="32"/>
        </w:rPr>
        <w:t>完善县域内路网结构，以海口羊山大道至定安母瑞山快速干道为主动脉，贯通衔接“百里百村”和各乡镇、主要农场、美丽乡村及主要景区景点等重要发展节点通道，提高县域公路网整体的通达性。</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加快补齐农村公路建设短板。</w:t>
      </w:r>
      <w:r>
        <w:rPr>
          <w:rFonts w:hint="eastAsia" w:ascii="仿宋_GB2312" w:hAnsi="仿宋_GB2312" w:eastAsia="仿宋_GB2312" w:cs="仿宋_GB2312"/>
          <w:sz w:val="32"/>
          <w:szCs w:val="32"/>
        </w:rPr>
        <w:t>解决农村地区道路点线连接不畅、会车不便等问题。在完成全县自然村通硬化路建设任务基础上，继续在全县开展农村公路及危桥改造调查摸底工作，全面消除各类危桥。继续推进生命安全防护工程，全面解决农村公路安全防护问题。</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深化农村公路管理养护体制改革。</w:t>
      </w:r>
      <w:r>
        <w:rPr>
          <w:rFonts w:hint="eastAsia" w:ascii="仿宋_GB2312" w:hAnsi="仿宋_GB2312" w:eastAsia="仿宋_GB2312" w:cs="仿宋_GB2312"/>
          <w:sz w:val="32"/>
          <w:szCs w:val="32"/>
        </w:rPr>
        <w:t>建立健全农村公路管理养护责任制，明确农村公路管理养护权力和责任清单，指导监督相关部门和乡镇(区)政府履职尽责。制订农村公路管理养护工作方案，实现农村公路养护管理正常化和规范化，探索符合地方实际的农村公路养护模式，提高常养率。加强农村公路管理队伍建设，全面建立县、乡、村三级路长制，加强路长考核，促进社会监督，促进管理体系高效运行，建立“精干高效、专兼结合、以专为主”的管理体系。</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加强交通配套及枢纽站建设。</w:t>
      </w:r>
      <w:r>
        <w:rPr>
          <w:rFonts w:hint="eastAsia" w:ascii="仿宋_GB2312" w:hAnsi="仿宋_GB2312" w:eastAsia="仿宋_GB2312" w:cs="楷体"/>
          <w:sz w:val="32"/>
          <w:szCs w:val="32"/>
        </w:rPr>
        <w:t>提升城市交通设施的服务水平，优化交通环境。积极推进新汽车站建设，谋划以高铁站为中心的县域交通枢纽中心建设。在主要旅游镇域和南部红色旅游区，规划建设慢行交通系统及配套设施，满足骑行、轮滑、步行等休闲交通需求。</w:t>
      </w:r>
    </w:p>
    <w:p>
      <w:pPr>
        <w:spacing w:line="560" w:lineRule="exact"/>
        <w:ind w:firstLine="642" w:firstLineChars="200"/>
        <w:rPr>
          <w:rFonts w:hint="eastAsia" w:ascii="仿宋_GB2312" w:hAnsi="仿宋_GB2312" w:eastAsia="仿宋_GB2312" w:cs="楷体"/>
          <w:sz w:val="32"/>
          <w:szCs w:val="32"/>
        </w:rPr>
      </w:pPr>
      <w:bookmarkStart w:id="283" w:name="_Toc17323"/>
      <w:r>
        <w:rPr>
          <w:rFonts w:hint="eastAsia" w:ascii="仿宋_GB2312" w:hAnsi="仿宋_GB2312" w:eastAsia="仿宋_GB2312" w:cs="楷体"/>
          <w:b/>
          <w:bCs/>
          <w:sz w:val="32"/>
          <w:szCs w:val="32"/>
        </w:rPr>
        <w:t>强化道路运输管理</w:t>
      </w:r>
      <w:bookmarkEnd w:id="283"/>
      <w:r>
        <w:rPr>
          <w:rFonts w:hint="eastAsia" w:ascii="仿宋_GB2312" w:hAnsi="仿宋_GB2312" w:eastAsia="仿宋_GB2312" w:cs="楷体"/>
          <w:b/>
          <w:bCs/>
          <w:sz w:val="32"/>
          <w:szCs w:val="32"/>
        </w:rPr>
        <w:t>。</w:t>
      </w:r>
      <w:r>
        <w:rPr>
          <w:rFonts w:hint="eastAsia" w:ascii="仿宋_GB2312" w:hAnsi="仿宋_GB2312" w:eastAsia="仿宋_GB2312" w:cs="楷体"/>
          <w:sz w:val="32"/>
          <w:szCs w:val="32"/>
        </w:rPr>
        <w:t>大力开展全县道路交通秩序整治专项行动，进一步优化道路运输环境。加大运政执法力度，加强客运班车滚动发班管理，维护运输市场秩序，促进客、货运输产业健康发展。加强交通安全监督管理，开展交通安全三年攻坚工作，继续开展联合治超专项行动。继续做好绿色通道运输工作，满足瓜果菜出岛运输需求。落实城乡公交政策性补贴，优化城乡公交线路运行方案，提高公交服务质量。大力推进城乡公交一体化工作，逐步实现城乡公交全覆盖。</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加快推进智慧交通建设。</w:t>
      </w:r>
      <w:r>
        <w:rPr>
          <w:rFonts w:hint="eastAsia" w:ascii="仿宋_GB2312" w:hAnsi="仿宋_GB2312" w:eastAsia="仿宋_GB2312" w:cs="楷体"/>
          <w:sz w:val="32"/>
          <w:szCs w:val="32"/>
        </w:rPr>
        <w:t>探索建设全县智慧交通一张网，积极探索推进基于大数据、人工智能、5G、车联网和区块链等新一代信息技术的智慧交通融合应用。建设定安县智慧交通综合管控服务系统，提升道路交通事故预防和响应能力。</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eastAsia="仿宋_GB2312"/>
                <w:b/>
                <w:bCs/>
                <w:sz w:val="24"/>
              </w:rPr>
            </w:pPr>
            <w:r>
              <w:rPr>
                <w:rFonts w:hint="eastAsia" w:ascii="仿宋_GB2312" w:hAnsi="仿宋_GB2312" w:eastAsia="仿宋_GB2312" w:cs="楷体"/>
                <w:b/>
                <w:bCs/>
                <w:sz w:val="24"/>
              </w:rPr>
              <w:t>专栏7：构建现代交通体系重点工程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海南中线高铁定安段</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“海澄文定”城际轨道交通建设</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海口羊山大道至定安母瑞山快速干道</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G98南丽湖互通及连接线项目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G98环岛高速仙沟互通项目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定安县农村公路安全防护工程项目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定安县农村公路龙坡一桥等15座危桥改建工程项目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农村公路路网改造硬化路工程</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美丽农村示范路项目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定安县塔岭工业园区基础设施工程项目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定海大桥至环城北路沿江公路项目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定安坡寨至屯昌新兴公路项目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母瑞山红色旅游沿线景观改造提升项目</w:t>
            </w:r>
          </w:p>
          <w:p>
            <w:pPr>
              <w:numPr>
                <w:ilvl w:val="0"/>
                <w:numId w:val="7"/>
              </w:numPr>
              <w:jc w:val="left"/>
              <w:rPr>
                <w:rFonts w:hint="eastAsia" w:ascii="仿宋_GB2312" w:hAnsi="仿宋_GB2312" w:eastAsia="仿宋_GB2312" w:cs="楷体"/>
                <w:sz w:val="24"/>
              </w:rPr>
            </w:pPr>
            <w:r>
              <w:rPr>
                <w:rFonts w:hint="eastAsia" w:ascii="仿宋_GB2312" w:hAnsi="仿宋_GB2312" w:eastAsia="仿宋_GB2312" w:cs="楷体"/>
                <w:sz w:val="24"/>
              </w:rPr>
              <w:t>定安新汽车站项目</w:t>
            </w:r>
          </w:p>
          <w:p>
            <w:pPr>
              <w:numPr>
                <w:ilvl w:val="0"/>
                <w:numId w:val="7"/>
              </w:numPr>
              <w:jc w:val="left"/>
              <w:rPr>
                <w:rFonts w:hint="eastAsia" w:ascii="仿宋_GB2312" w:eastAsia="仿宋_GB2312"/>
                <w:sz w:val="24"/>
                <w:lang w:bidi="ar"/>
              </w:rPr>
            </w:pPr>
            <w:r>
              <w:rPr>
                <w:rFonts w:hint="eastAsia" w:ascii="仿宋_GB2312" w:hAnsi="仿宋_GB2312" w:eastAsia="仿宋_GB2312" w:cs="楷体"/>
                <w:sz w:val="24"/>
              </w:rPr>
              <w:t>定安县新竹绿色建筑产业基地基础设施项目</w:t>
            </w:r>
          </w:p>
        </w:tc>
      </w:tr>
    </w:tbl>
    <w:p>
      <w:pPr>
        <w:jc w:val="center"/>
        <w:outlineLvl w:val="1"/>
        <w:rPr>
          <w:rFonts w:hint="eastAsia" w:ascii="仿宋_GB2312" w:hAnsi="仿宋" w:eastAsia="仿宋_GB2312" w:cs="仿宋"/>
          <w:b/>
          <w:bCs/>
          <w:sz w:val="32"/>
          <w:szCs w:val="32"/>
        </w:rPr>
      </w:pPr>
      <w:bookmarkStart w:id="284" w:name="_Toc25387"/>
      <w:bookmarkStart w:id="285" w:name="_Toc15178"/>
      <w:bookmarkStart w:id="286" w:name="_Toc54189198"/>
      <w:bookmarkStart w:id="287" w:name="_Toc1906"/>
      <w:bookmarkStart w:id="288" w:name="_Toc10692"/>
      <w:bookmarkStart w:id="289" w:name="_Toc10224"/>
      <w:bookmarkStart w:id="290" w:name="_Toc1921"/>
      <w:bookmarkStart w:id="291" w:name="_Toc9803"/>
      <w:bookmarkStart w:id="292" w:name="_Toc12930"/>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第二节  城乡一体，建设绿色智慧水网</w:t>
      </w:r>
      <w:bookmarkEnd w:id="284"/>
      <w:bookmarkEnd w:id="285"/>
      <w:bookmarkEnd w:id="286"/>
      <w:bookmarkEnd w:id="287"/>
      <w:bookmarkEnd w:id="288"/>
      <w:bookmarkEnd w:id="289"/>
      <w:bookmarkEnd w:id="290"/>
      <w:bookmarkEnd w:id="291"/>
      <w:bookmarkEnd w:id="292"/>
    </w:p>
    <w:p>
      <w:pPr>
        <w:spacing w:line="560" w:lineRule="exact"/>
        <w:ind w:firstLine="641"/>
        <w:rPr>
          <w:rFonts w:hint="eastAsia" w:ascii="仿宋_GB2312" w:hAnsi="仿宋" w:eastAsia="仿宋_GB2312"/>
          <w:sz w:val="32"/>
          <w:szCs w:val="32"/>
        </w:rPr>
      </w:pPr>
      <w:r>
        <w:rPr>
          <w:rFonts w:hint="eastAsia" w:ascii="仿宋_GB2312" w:hAnsi="仿宋_GB2312" w:eastAsia="仿宋_GB2312" w:cs="楷体"/>
          <w:b/>
          <w:bCs/>
          <w:sz w:val="32"/>
          <w:szCs w:val="32"/>
        </w:rPr>
        <w:t>严格饮用水保护。</w:t>
      </w:r>
      <w:r>
        <w:rPr>
          <w:rFonts w:hint="eastAsia" w:ascii="仿宋_GB2312" w:hAnsi="仿宋" w:eastAsia="仿宋_GB2312"/>
          <w:sz w:val="32"/>
          <w:szCs w:val="32"/>
        </w:rPr>
        <w:t>对1处列入县级重要饮用水名录、12处列入镇级重要名录的水源保护区的优先实施保护，强化饮用水监管力度，大力开展饮用水安全保障达标建设。</w:t>
      </w:r>
    </w:p>
    <w:p>
      <w:pPr>
        <w:spacing w:line="560" w:lineRule="exact"/>
        <w:ind w:firstLine="641"/>
        <w:rPr>
          <w:rFonts w:hint="eastAsia" w:ascii="仿宋_GB2312" w:hAnsi="仿宋" w:eastAsia="仿宋_GB2312"/>
          <w:sz w:val="32"/>
          <w:szCs w:val="32"/>
        </w:rPr>
      </w:pPr>
      <w:r>
        <w:rPr>
          <w:rFonts w:hint="eastAsia" w:ascii="仿宋_GB2312" w:hAnsi="仿宋_GB2312" w:eastAsia="仿宋_GB2312" w:cs="楷体"/>
          <w:b/>
          <w:bCs/>
          <w:sz w:val="32"/>
          <w:szCs w:val="32"/>
        </w:rPr>
        <w:t>完善水利设施。</w:t>
      </w:r>
      <w:r>
        <w:rPr>
          <w:rFonts w:hint="eastAsia" w:ascii="仿宋_GB2312" w:hAnsi="仿宋" w:eastAsia="仿宋_GB2312"/>
          <w:sz w:val="32"/>
          <w:szCs w:val="32"/>
        </w:rPr>
        <w:t>以水资源现有存量及其开发利用合理性为规划设计思路，按照保障地区发展，遵循适度开发的原则，多方论证，合理布局，规划建设蓄、引、提水工程、跨流域调水工程等工程。</w:t>
      </w:r>
    </w:p>
    <w:p>
      <w:pPr>
        <w:spacing w:line="560" w:lineRule="exact"/>
        <w:ind w:firstLine="641"/>
        <w:rPr>
          <w:rFonts w:ascii="仿宋_GB2312" w:hAnsi="仿宋" w:eastAsia="仿宋_GB2312"/>
          <w:sz w:val="32"/>
          <w:szCs w:val="32"/>
        </w:rPr>
      </w:pPr>
      <w:r>
        <w:rPr>
          <w:rFonts w:hint="eastAsia" w:ascii="仿宋_GB2312" w:hAnsi="仿宋_GB2312" w:eastAsia="仿宋_GB2312" w:cs="楷体"/>
          <w:b/>
          <w:bCs/>
          <w:sz w:val="32"/>
          <w:szCs w:val="32"/>
        </w:rPr>
        <w:t>城乡供水一体化。</w:t>
      </w:r>
      <w:r>
        <w:rPr>
          <w:rFonts w:hint="eastAsia" w:ascii="仿宋_GB2312" w:hAnsi="仿宋" w:eastAsia="仿宋_GB2312"/>
          <w:sz w:val="32"/>
          <w:szCs w:val="32"/>
        </w:rPr>
        <w:t>在定安县范围建设集中供水设施，加大管网覆盖范围，优化水源区域配置、合理布局片区水厂，适度发展集中式供水点、健全管网布置，以科学、合理、优质、高效的方式解决饮水安全等问题，实现塔岭水厂片区、龙门水厂片区、新竹水厂片区、黄竹水厂片区、麻罗岭水厂片区等5个片区供水覆盖全县供水，加大配水管网和应急输水工程建设，推进农村供水管网建设。</w:t>
      </w:r>
    </w:p>
    <w:p>
      <w:pPr>
        <w:spacing w:line="560" w:lineRule="exact"/>
        <w:ind w:firstLine="641"/>
        <w:rPr>
          <w:rFonts w:hint="eastAsia" w:ascii="仿宋_GB2312" w:hAnsi="仿宋_GB2312" w:eastAsia="仿宋_GB2312" w:cs="楷体"/>
          <w:sz w:val="32"/>
          <w:szCs w:val="32"/>
        </w:rPr>
      </w:pPr>
      <w:r>
        <w:rPr>
          <w:rFonts w:hint="eastAsia" w:ascii="仿宋_GB2312" w:hAnsi="仿宋_GB2312" w:eastAsia="仿宋_GB2312" w:cs="楷体"/>
          <w:b/>
          <w:bCs/>
          <w:sz w:val="32"/>
          <w:szCs w:val="32"/>
        </w:rPr>
        <w:t>加强农田水利设施建设与管护，解决农田水利“最后一公里”灌溉问题。</w:t>
      </w:r>
      <w:r>
        <w:rPr>
          <w:rFonts w:hint="eastAsia" w:ascii="仿宋_GB2312" w:hAnsi="仿宋" w:eastAsia="仿宋_GB2312"/>
          <w:sz w:val="32"/>
          <w:szCs w:val="32"/>
        </w:rPr>
        <w:t>贯彻“节水优先”发展理念，全面落实国家节水行动方案</w:t>
      </w:r>
      <w:r>
        <w:rPr>
          <w:rFonts w:hint="eastAsia" w:ascii="仿宋_GB2312" w:hAnsi="仿宋_GB2312" w:eastAsia="仿宋_GB2312" w:cs="楷体"/>
          <w:sz w:val="32"/>
          <w:szCs w:val="32"/>
        </w:rPr>
        <w:t>。强化信息技术与水网融合发展，打造感知型水网，实现对水网动态监测，建设智慧水网。加快中小河流生态修复治理。</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eastAsia="仿宋_GB2312"/>
                <w:sz w:val="24"/>
              </w:rPr>
            </w:pPr>
            <w:r>
              <w:rPr>
                <w:rFonts w:hint="eastAsia" w:ascii="仿宋_GB2312" w:hAnsi="仿宋_GB2312" w:eastAsia="仿宋_GB2312" w:cs="楷体"/>
                <w:b/>
                <w:bCs/>
                <w:sz w:val="24"/>
              </w:rPr>
              <w:t>专栏8：智慧水网重点工程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定安县新竹水厂及配套管网工程</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定安县黄竹水厂管网延伸工程（大统等村委会及南海农场一至七区等片区）</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定安县龙门水厂及配套管网工程</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定安县麻罗岭水厂及配套管网工程项目</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定安县饮水巩固提升工程</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龙州河干渠节水改造工程</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麻罗岭水库灌区续建配套与现代化（节水）改造工程</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良世水库灌区续建配套与现代化（节水）改造工程</w:t>
            </w:r>
          </w:p>
          <w:p>
            <w:pPr>
              <w:pStyle w:val="12"/>
              <w:numPr>
                <w:ilvl w:val="0"/>
                <w:numId w:val="8"/>
              </w:numPr>
              <w:rPr>
                <w:rFonts w:hint="eastAsia" w:ascii="仿宋_GB2312" w:hAnsi="仿宋_GB2312" w:eastAsia="仿宋_GB2312" w:cs="楷体"/>
                <w:color w:val="auto"/>
              </w:rPr>
            </w:pPr>
            <w:r>
              <w:rPr>
                <w:rFonts w:hint="eastAsia" w:ascii="仿宋_GB2312" w:hAnsi="仿宋_GB2312" w:eastAsia="仿宋_GB2312" w:cs="楷体"/>
                <w:color w:val="auto"/>
              </w:rPr>
              <w:t>白塘水库一干渠节水改造工程</w:t>
            </w:r>
          </w:p>
          <w:p>
            <w:pPr>
              <w:pStyle w:val="12"/>
              <w:numPr>
                <w:ilvl w:val="0"/>
                <w:numId w:val="8"/>
              </w:numPr>
              <w:rPr>
                <w:rFonts w:hint="eastAsia"/>
                <w:color w:val="auto"/>
              </w:rPr>
            </w:pPr>
            <w:r>
              <w:rPr>
                <w:rFonts w:hint="eastAsia" w:ascii="仿宋_GB2312" w:hAnsi="仿宋_GB2312" w:eastAsia="仿宋_GB2312" w:cs="楷体"/>
                <w:color w:val="auto"/>
              </w:rPr>
              <w:t>南扶水库、白塘水库、潭榄溪南山防洪闸、大底防洪闸、新联村段防洪闸、南渡江定城段等信息化建设</w:t>
            </w:r>
          </w:p>
        </w:tc>
      </w:tr>
    </w:tbl>
    <w:p>
      <w:pPr>
        <w:spacing w:before="239" w:beforeLines="50" w:after="239" w:afterLines="50" w:line="560" w:lineRule="exact"/>
        <w:jc w:val="center"/>
        <w:outlineLvl w:val="1"/>
        <w:rPr>
          <w:rFonts w:hint="eastAsia" w:ascii="楷体_GB2312" w:hAnsi="楷体" w:eastAsia="楷体_GB2312" w:cs="楷体"/>
          <w:bCs/>
          <w:sz w:val="32"/>
          <w:szCs w:val="32"/>
        </w:rPr>
      </w:pPr>
      <w:bookmarkStart w:id="293" w:name="_Toc26117"/>
      <w:bookmarkStart w:id="294" w:name="_Toc22478"/>
      <w:bookmarkStart w:id="295" w:name="_Toc3713"/>
      <w:bookmarkStart w:id="296" w:name="_Toc8979"/>
      <w:bookmarkStart w:id="297" w:name="_Toc54189199"/>
      <w:bookmarkStart w:id="298" w:name="_Toc1627"/>
      <w:bookmarkStart w:id="299" w:name="_Toc18158"/>
      <w:bookmarkStart w:id="300" w:name="_Toc18500"/>
      <w:bookmarkStart w:id="301" w:name="_Toc2183"/>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第三节  城乡统筹，强化绿色智能供能</w:t>
      </w:r>
      <w:bookmarkEnd w:id="293"/>
      <w:bookmarkEnd w:id="294"/>
      <w:bookmarkEnd w:id="295"/>
      <w:bookmarkEnd w:id="296"/>
      <w:bookmarkEnd w:id="297"/>
      <w:bookmarkEnd w:id="298"/>
      <w:bookmarkEnd w:id="299"/>
      <w:bookmarkEnd w:id="300"/>
      <w:bookmarkEnd w:id="301"/>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推动电网规划与城市规划衔接，优化主网网架结构，推进智能变电站建设，完善中低压配电网，构建网架坚强、智能安全、布局合理、结构协调的现代化电网体系。推动农村配电网络全覆盖，推进农村配电网络改造升级，实现城乡用电服务均等化。</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优化供气系统与主干管网输配系统建设，构建供需平衡、气源结构合理、主干管网互联互通、应急保障体系完善的现代城市气网系统，提升城乡供气管网覆盖水平。</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加快清洁能源和新能源的推广应用。推进天然气等清洁能源逐步替代煤、油等能源，推进城镇燃气工程，推动燃气下乡进村“气代柴薪”，鼓励发展太阳能、风能、生物质能等可再生能源，推进太阳能发电等清洁电源建设，推动建设光伏发电、余压发电项目。</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spacing w:line="560" w:lineRule="exact"/>
              <w:jc w:val="left"/>
              <w:rPr>
                <w:rFonts w:hint="eastAsia" w:ascii="仿宋_GB2312" w:hAnsi="仿宋_GB2312" w:eastAsia="仿宋_GB2312" w:cs="楷体"/>
                <w:b/>
                <w:bCs/>
                <w:sz w:val="24"/>
              </w:rPr>
            </w:pPr>
            <w:r>
              <w:rPr>
                <w:rFonts w:hint="eastAsia" w:ascii="仿宋_GB2312" w:hAnsi="仿宋_GB2312" w:eastAsia="仿宋_GB2312" w:cs="楷体"/>
                <w:b/>
                <w:bCs/>
                <w:sz w:val="24"/>
              </w:rPr>
              <w:t>专栏9：绿色智能供能重点工程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pStyle w:val="12"/>
              <w:numPr>
                <w:ilvl w:val="0"/>
                <w:numId w:val="9"/>
              </w:numPr>
              <w:rPr>
                <w:rFonts w:hint="eastAsia" w:ascii="仿宋_GB2312" w:hAnsi="仿宋_GB2312" w:eastAsia="仿宋_GB2312" w:cs="楷体"/>
                <w:color w:val="auto"/>
              </w:rPr>
            </w:pPr>
            <w:r>
              <w:rPr>
                <w:rFonts w:hint="eastAsia" w:ascii="仿宋_GB2312" w:hAnsi="仿宋_GB2312" w:eastAsia="仿宋_GB2312" w:cs="楷体"/>
                <w:color w:val="auto"/>
              </w:rPr>
              <w:t>定安110KV翰林站新建输变电工程</w:t>
            </w:r>
          </w:p>
          <w:p>
            <w:pPr>
              <w:pStyle w:val="12"/>
              <w:numPr>
                <w:ilvl w:val="0"/>
                <w:numId w:val="9"/>
              </w:numPr>
              <w:rPr>
                <w:rFonts w:hint="eastAsia" w:ascii="仿宋_GB2312" w:hAnsi="仿宋_GB2312" w:eastAsia="仿宋_GB2312" w:cs="楷体"/>
                <w:color w:val="auto"/>
              </w:rPr>
            </w:pPr>
            <w:r>
              <w:rPr>
                <w:rFonts w:hint="eastAsia" w:ascii="仿宋_GB2312" w:hAnsi="仿宋_GB2312" w:eastAsia="仿宋_GB2312" w:cs="楷体"/>
                <w:color w:val="auto"/>
              </w:rPr>
              <w:t>定安35kV红卫站、富文站、翰林站、输变电新建工程</w:t>
            </w:r>
          </w:p>
          <w:p>
            <w:pPr>
              <w:pStyle w:val="12"/>
              <w:numPr>
                <w:ilvl w:val="0"/>
                <w:numId w:val="9"/>
              </w:numPr>
              <w:rPr>
                <w:rFonts w:hint="eastAsia" w:ascii="仿宋_GB2312" w:hAnsi="仿宋_GB2312" w:eastAsia="仿宋_GB2312" w:cs="楷体"/>
                <w:color w:val="auto"/>
              </w:rPr>
            </w:pPr>
            <w:r>
              <w:rPr>
                <w:rFonts w:hint="eastAsia" w:ascii="仿宋_GB2312" w:hAnsi="仿宋_GB2312" w:eastAsia="仿宋_GB2312" w:cs="楷体"/>
                <w:color w:val="auto"/>
              </w:rPr>
              <w:t>定安燃气下乡气代柴薪项目一期</w:t>
            </w:r>
          </w:p>
          <w:p>
            <w:pPr>
              <w:pStyle w:val="12"/>
              <w:numPr>
                <w:ilvl w:val="0"/>
                <w:numId w:val="9"/>
              </w:numPr>
              <w:rPr>
                <w:rFonts w:hint="eastAsia" w:ascii="仿宋_GB2312" w:hAnsi="仿宋_GB2312" w:eastAsia="仿宋_GB2312" w:cs="楷体"/>
                <w:color w:val="auto"/>
              </w:rPr>
            </w:pPr>
            <w:r>
              <w:rPr>
                <w:rFonts w:hint="eastAsia" w:ascii="仿宋_GB2312" w:hAnsi="仿宋_GB2312" w:eastAsia="仿宋_GB2312" w:cs="楷体"/>
                <w:color w:val="auto"/>
              </w:rPr>
              <w:t>定安定城家育加气站项目</w:t>
            </w:r>
          </w:p>
          <w:p>
            <w:pPr>
              <w:pStyle w:val="12"/>
              <w:numPr>
                <w:ilvl w:val="0"/>
                <w:numId w:val="9"/>
              </w:numPr>
              <w:rPr>
                <w:rFonts w:hint="eastAsia"/>
                <w:color w:val="auto"/>
              </w:rPr>
            </w:pPr>
            <w:r>
              <w:rPr>
                <w:rFonts w:hint="eastAsia" w:ascii="仿宋_GB2312" w:hAnsi="仿宋_GB2312" w:eastAsia="仿宋_GB2312" w:cs="楷体"/>
                <w:color w:val="auto"/>
              </w:rPr>
              <w:t>定安县城乡燃气工程项目</w:t>
            </w:r>
          </w:p>
        </w:tc>
      </w:tr>
    </w:tbl>
    <w:p>
      <w:pPr>
        <w:spacing w:before="239" w:beforeLines="50" w:after="239" w:afterLines="50" w:line="560" w:lineRule="exact"/>
        <w:jc w:val="center"/>
        <w:outlineLvl w:val="1"/>
        <w:rPr>
          <w:rFonts w:hint="eastAsia" w:ascii="楷体_GB2312" w:hAnsi="楷体" w:eastAsia="楷体_GB2312" w:cs="楷体"/>
          <w:bCs/>
          <w:sz w:val="32"/>
          <w:szCs w:val="32"/>
        </w:rPr>
      </w:pPr>
      <w:bookmarkStart w:id="302" w:name="_Toc5027"/>
      <w:bookmarkStart w:id="303" w:name="_Toc17205"/>
      <w:bookmarkStart w:id="304" w:name="_Toc18689"/>
      <w:bookmarkStart w:id="305" w:name="_Toc7357"/>
      <w:bookmarkStart w:id="306" w:name="_Toc22021"/>
      <w:bookmarkStart w:id="307" w:name="_Toc54189200"/>
      <w:bookmarkStart w:id="308" w:name="_Toc26510"/>
      <w:bookmarkStart w:id="309" w:name="_Toc11916"/>
      <w:bookmarkStart w:id="310" w:name="_Toc8776"/>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第四节  科技引领，推进智慧城市基建</w:t>
      </w:r>
      <w:bookmarkEnd w:id="302"/>
      <w:bookmarkEnd w:id="303"/>
      <w:bookmarkEnd w:id="304"/>
      <w:bookmarkEnd w:id="305"/>
      <w:bookmarkEnd w:id="306"/>
      <w:bookmarkEnd w:id="307"/>
      <w:bookmarkEnd w:id="308"/>
      <w:bookmarkEnd w:id="309"/>
      <w:bookmarkEnd w:id="310"/>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推进全域信息基础设施建设。</w:t>
      </w:r>
      <w:r>
        <w:rPr>
          <w:rFonts w:hint="eastAsia" w:ascii="仿宋_GB2312" w:hAnsi="仿宋_GB2312" w:eastAsia="仿宋_GB2312" w:cs="楷体"/>
          <w:sz w:val="32"/>
          <w:szCs w:val="32"/>
        </w:rPr>
        <w:t>实现光纤宽带网络、无线移动通信网络城乡覆盖率均达到100%。促进光纤宽带网络的优化升级，推进城乡一体化“双千兆网络”建设。以“广覆盖、深融合、大共享”为目标，推进5G通信网络建设。充分利用存量基站资源、社会公共资源快速实现5G广度覆盖，推进在农业、交通、能源、生态环保及城市治理等领域应用。推动大数据中心、信息中心、超算中心等算力基础设施配套，在升级5G设施的基础上形成支撑“数字定安”、“智慧定安”、“平安定安”建设发展的坚实基础。</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加快融合型新基建建设。</w:t>
      </w:r>
      <w:r>
        <w:rPr>
          <w:rFonts w:hint="eastAsia" w:ascii="仿宋_GB2312" w:hAnsi="仿宋_GB2312" w:eastAsia="仿宋_GB2312" w:cs="楷体"/>
          <w:sz w:val="32"/>
          <w:szCs w:val="32"/>
        </w:rPr>
        <w:t>利用互联网、大数据、人工智能等技术，推动信息技术与“五网”融合发展，升级“五网”基础设施，强化感知基础设施配套，结合城际轨道交通、地下综合管廊等重点项目及道路、管网设施新建改造项目，推进水、电、气管网及道路、桥梁、车站等设施智能化改造，开展对城市基础运行实时信息的采集与监测。以城市超级大脑项目为抓手，推动交通、医疗、教育、行政和城市管理等领域智慧化发展，加快推动公路智慧化、政务服务应用提升工程、产业与跨境电商的融合、社管应急平台等一批项目建设。积极推进新能源汽车充电基础设施建设，推动充电基础设施跨界建设，在确保道路通行顺畅的前提下，允许利用城镇干支线道路路肩合理规划布局充电基础设施。</w:t>
      </w:r>
    </w:p>
    <w:p>
      <w:pPr>
        <w:pStyle w:val="12"/>
        <w:spacing w:before="239" w:beforeLines="50" w:after="239" w:afterLines="50" w:line="560" w:lineRule="exact"/>
        <w:jc w:val="center"/>
        <w:outlineLvl w:val="0"/>
        <w:rPr>
          <w:rFonts w:hint="eastAsia" w:ascii="黑体" w:hAnsi="黑体" w:eastAsia="黑体"/>
          <w:bCs/>
          <w:color w:val="auto"/>
          <w:sz w:val="32"/>
          <w:szCs w:val="32"/>
        </w:rPr>
      </w:pPr>
      <w:bookmarkStart w:id="311" w:name="_Toc107"/>
      <w:bookmarkStart w:id="312" w:name="_Toc6869"/>
      <w:bookmarkStart w:id="313" w:name="_Toc31567"/>
      <w:bookmarkStart w:id="314" w:name="_Toc10249"/>
      <w:bookmarkStart w:id="315" w:name="_Toc29877"/>
      <w:bookmarkStart w:id="316" w:name="_Toc54189201"/>
      <w:bookmarkStart w:id="317" w:name="_Toc54189163"/>
      <w:bookmarkStart w:id="318" w:name="_Toc27096"/>
      <w:bookmarkStart w:id="319" w:name="_Toc27715"/>
      <w:bookmarkStart w:id="320" w:name="_Toc26364"/>
      <w:bookmarkStart w:id="321" w:name="_Toc9742"/>
      <w:bookmarkStart w:id="322" w:name="_Toc21937"/>
      <w:bookmarkStart w:id="323" w:name="_Toc13696"/>
    </w:p>
    <w:p>
      <w:pPr>
        <w:pStyle w:val="12"/>
        <w:spacing w:before="239" w:beforeLines="50" w:after="239" w:afterLines="50" w:line="560" w:lineRule="exact"/>
        <w:ind w:left="0" w:leftChars="0" w:firstLine="0" w:firstLineChars="0"/>
        <w:jc w:val="center"/>
        <w:outlineLvl w:val="0"/>
        <w:rPr>
          <w:rFonts w:hint="eastAsia" w:ascii="黑体" w:hAnsi="黑体" w:eastAsia="黑体"/>
          <w:bCs/>
          <w:color w:val="auto"/>
          <w:sz w:val="32"/>
          <w:szCs w:val="32"/>
        </w:rPr>
      </w:pPr>
      <w:r>
        <w:rPr>
          <w:rFonts w:hint="eastAsia" w:ascii="黑体" w:hAnsi="黑体" w:eastAsia="黑体"/>
          <w:bCs/>
          <w:color w:val="auto"/>
          <w:sz w:val="32"/>
          <w:szCs w:val="32"/>
        </w:rPr>
        <w:t>第八章  提升公共服务水平，建设幸福定安</w:t>
      </w:r>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加强社会建设，健全基本公共服务体系，促进人的全面发展和社会进步，确保改革发展成果更多更公平惠及全县人民，不断提高人民群众的获得感、幸福感。</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324" w:name="_Toc54189203"/>
      <w:bookmarkStart w:id="325" w:name="_Toc13528"/>
      <w:bookmarkStart w:id="326" w:name="_Toc27339"/>
      <w:bookmarkStart w:id="327" w:name="_Toc19229"/>
      <w:bookmarkStart w:id="328" w:name="_Toc17856"/>
      <w:bookmarkStart w:id="329" w:name="_Toc5088"/>
      <w:bookmarkStart w:id="330" w:name="_Toc21723"/>
      <w:bookmarkStart w:id="331" w:name="_Toc2494"/>
      <w:bookmarkStart w:id="332" w:name="_Toc2522"/>
      <w:r>
        <w:rPr>
          <w:rFonts w:hint="eastAsia" w:ascii="楷体_GB2312" w:hAnsi="楷体" w:eastAsia="楷体_GB2312" w:cs="楷体"/>
          <w:bCs/>
          <w:sz w:val="32"/>
          <w:szCs w:val="32"/>
        </w:rPr>
        <w:t xml:space="preserve">第一节  </w:t>
      </w:r>
      <w:bookmarkEnd w:id="324"/>
      <w:bookmarkEnd w:id="325"/>
      <w:bookmarkEnd w:id="326"/>
      <w:bookmarkEnd w:id="327"/>
      <w:bookmarkEnd w:id="328"/>
      <w:bookmarkEnd w:id="329"/>
      <w:bookmarkEnd w:id="330"/>
      <w:r>
        <w:rPr>
          <w:rFonts w:hint="eastAsia" w:ascii="楷体_GB2312" w:hAnsi="楷体" w:eastAsia="楷体_GB2312" w:cs="楷体"/>
          <w:bCs/>
          <w:sz w:val="32"/>
          <w:szCs w:val="32"/>
        </w:rPr>
        <w:t>加快推进教育现代化</w:t>
      </w:r>
      <w:bookmarkEnd w:id="331"/>
      <w:bookmarkEnd w:id="33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与自由贸易港相适应的教育集成创新行动，实施“教育强县”战略，制定学前教育、中小学教育中长期发展规划。扩大高中办学规模，加快推进教育现代化，积极参与自由贸易港国际教育创新岛建设，打造定安教育品牌。至2025年，全县教育各项发展指标达到全省中等以上水平。</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学前教育稳步规范发展。</w:t>
      </w:r>
      <w:r>
        <w:rPr>
          <w:rFonts w:hint="eastAsia" w:ascii="仿宋_GB2312" w:hAnsi="仿宋_GB2312" w:eastAsia="仿宋_GB2312" w:cs="仿宋_GB2312"/>
          <w:sz w:val="32"/>
          <w:szCs w:val="32"/>
        </w:rPr>
        <w:t>大力推进公办园建设、规范民办园发展，积极实施“一市（县）两校一园”优质教育资源引进工作，推动学前教育普及水平显著提高、办学水平稳步提升。制定并实施好《定安县学前教育发展布局规划（2020-2035）》，到2025年，新建公办幼儿园不低于20所，实现新增学前教育学位2520个。大幅增加公办园学位，逐步提高公办园学位比例，2025年达到55%以上。加大县级财政投入，提高普惠性民办幼儿园奖补资金，吸引更多优质民办幼儿园加入到普惠性幼儿园行列当中，力争普惠性幼儿园占比2025年达到85%以上。结合产业园发展，引入高端幼儿园。</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不断巩固提高九年义务教育水平。</w:t>
      </w:r>
      <w:r>
        <w:rPr>
          <w:rFonts w:hint="eastAsia" w:ascii="仿宋_GB2312" w:hAnsi="仿宋_GB2312" w:eastAsia="仿宋_GB2312" w:cs="仿宋_GB2312"/>
          <w:sz w:val="32"/>
          <w:szCs w:val="32"/>
        </w:rPr>
        <w:t>进一步提升教育均衡发展水平，提高义务教育阶段学生的入学率、巩固率，保证全县适龄儿童都能按时入学，小学适龄儿童入学率达到100%，初中适龄少年入学率99%以上，义务教育阶段巩固率达 96%以上，残疾儿童义务教育阶段入学率达 95%以上。有序扩大城镇义务教育学位供给，确保所有符合条件的进城务工人员子女入学。巩固全面消除义务教育大班额成果，推进义务教育城乡一体化发展。积极实施《定安县中小学教育发展布局规划（2020—2035 年）》，调整优化学校布局，促进县城义务教育优质均衡发展。</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加快发展普通高中教育。</w:t>
      </w:r>
      <w:r>
        <w:rPr>
          <w:rFonts w:hint="eastAsia" w:ascii="仿宋_GB2312" w:hAnsi="仿宋_GB2312" w:eastAsia="仿宋_GB2312" w:cs="仿宋_GB2312"/>
          <w:sz w:val="32"/>
          <w:szCs w:val="32"/>
        </w:rPr>
        <w:t>加大高中阶段教育投入，加强普通高中师资配备，改善和扩大普通高中办学规模，到 2025 年实现新增普通高中学位 1800个，努力使全县高中阶段毛入学率达到 92.5%以上。进一步引进省外优质教育资源合作办学，采取名校办分校、学校整体托管、对口帮扶等方式开展合作，创新办学体制机制，丰富教育供给，满足定安人民对优质高中教育的需求。认真实施高考改革，落实高考教学改革与评价标准改革，扎实推进高中课堂的有效教学模式，完善普通高中教学管理规范，强化教学常规管理。发挥好湖南师范大学附属定安中学和城南中学办学优势，全面提高高中教育质量。把湖南师范大学附属定安中学建设为省一级学校，争取城南中学达到省一级学校办学标准。</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完善职业教育和培训体系。</w:t>
      </w:r>
      <w:r>
        <w:rPr>
          <w:rFonts w:hint="eastAsia" w:ascii="仿宋_GB2312" w:hAnsi="仿宋_GB2312" w:eastAsia="仿宋_GB2312" w:cs="仿宋_GB2312"/>
          <w:sz w:val="32"/>
          <w:szCs w:val="32"/>
        </w:rPr>
        <w:t>实施“引企入教”和“施教入企”，促进教育链、人才链与产业链、创新链的有机衔接。</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推动社区教育、老年教育特色发展。</w:t>
      </w:r>
      <w:r>
        <w:rPr>
          <w:rFonts w:hint="eastAsia" w:ascii="仿宋_GB2312" w:hAnsi="仿宋_GB2312" w:eastAsia="仿宋_GB2312" w:cs="仿宋_GB2312"/>
          <w:sz w:val="32"/>
          <w:szCs w:val="32"/>
        </w:rPr>
        <w:t>按照协调推进“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"https://baike.so.com/doc/8383992-8701590.html"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四个全面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”战略布局的要求，以促进全民终身学习、形成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"https://baike.so.com/doc/6217764-6431045.html"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学习型社会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为目标，以提高国民思想道德素质、科学文化素质、健康素质和职业技能为宗旨，以建立健全社区教育制度为着力点，整合各类教育资源，统筹开展城乡社区教育、老年教育基地建设。把开展社区教育、老年教育纳入教育发展整体规划，做好社区教育、老年教育发展规划、相关政策的制定和完善工作，建立目标责任和考核机制，确保社区教育、老年教育改革发展目标落实到位。加大对社区教育、老年教育的支持力度，将社区教育、老年教育办学经费、专项经费纳入县级财政预算，并根据社区教育、老年教育事业发展需要逐年增加。推动社区教育、老年教育社会化，推进社区教育领域政府购买服务的试点工作，探索通过政府购买、项目外包、委托管理等形式，吸引行业性、专业性社会组织、社区社会组织和民办社会工作服务机构参与社区教育。鼓励社会资本通过兴办实体、资助项目、赞助活动、提供设施、设立社区教育基金等方式支持社区教育发展。鼓励自然人、法人或其他组织捐助社区教育或举办社区教育机构，并依法享受有关政策优惠。</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全面提升教师队伍整体水平。</w:t>
      </w:r>
      <w:r>
        <w:rPr>
          <w:rFonts w:hint="eastAsia" w:ascii="仿宋_GB2312" w:hAnsi="仿宋_GB2312" w:eastAsia="仿宋_GB2312" w:cs="仿宋_GB2312"/>
          <w:sz w:val="32"/>
          <w:szCs w:val="32"/>
        </w:rPr>
        <w:t>深入推进“好校长”“好教师”引进工程，改革培养培训体系，设立名师、名校长工作室，加强中小学学科带头人、骨干校长、骨干教师县级提高培训和二次培训。以三年为周期，分层次组织中小学班主任参加培训。考核选拔部分骨干校长进行高级研修，着力打造校长团队建设。加强科研引领，提高教育质量，加强科研骨干队伍建设，建立科研专家库，进一步加强课题成果推广。切实改善乡村教师工作生活条件，提升乡村教师专业素质和提高乡村教师现代教育技术水平，建立以城带乡帮扶机制，努力建成一支师德高尚、素质优良、结构合理、服务乡村的适应定安县乡村教育发展需要的教师队伍。</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探索“互联网+教育”新发展理念。</w:t>
      </w:r>
      <w:r>
        <w:rPr>
          <w:rFonts w:hint="eastAsia" w:ascii="仿宋_GB2312" w:hAnsi="仿宋_GB2312" w:eastAsia="仿宋_GB2312" w:cs="仿宋_GB2312"/>
          <w:sz w:val="32"/>
          <w:szCs w:val="32"/>
        </w:rPr>
        <w:t>加快完善线上教学的软硬件配套设施建设，借助国家优质教学资源平台，高标准推进线下线上教育融合发展，促进优质教育资源共享。让农村地区和城区相对薄弱学校的孩子共享专家课堂、名师课堂、名校网络课堂和优质学习资源，从而有效优化全县基础教育资源配置,促进教育均衡发展。</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sz w:val="24"/>
              </w:rPr>
            </w:pPr>
            <w:r>
              <w:rPr>
                <w:rFonts w:hint="eastAsia" w:ascii="仿宋_GB2312" w:hAnsi="仿宋_GB2312" w:eastAsia="仿宋_GB2312" w:cs="楷体"/>
                <w:sz w:val="24"/>
              </w:rPr>
              <w:t>专栏10：教育强县重点工程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pStyle w:val="12"/>
              <w:numPr>
                <w:ilvl w:val="0"/>
                <w:numId w:val="10"/>
              </w:numPr>
              <w:rPr>
                <w:rFonts w:hint="eastAsia" w:ascii="仿宋_GB2312" w:hAnsi="仿宋_GB2312" w:eastAsia="仿宋_GB2312" w:cs="楷体"/>
                <w:color w:val="auto"/>
              </w:rPr>
            </w:pPr>
            <w:r>
              <w:rPr>
                <w:rFonts w:hint="eastAsia" w:ascii="仿宋_GB2312" w:hAnsi="仿宋_GB2312" w:eastAsia="仿宋_GB2312" w:cs="楷体"/>
                <w:color w:val="auto"/>
              </w:rPr>
              <w:t>学前教育建设与提升工程</w:t>
            </w:r>
          </w:p>
          <w:p>
            <w:pPr>
              <w:pStyle w:val="12"/>
              <w:numPr>
                <w:ilvl w:val="0"/>
                <w:numId w:val="10"/>
              </w:numPr>
              <w:rPr>
                <w:rFonts w:hint="eastAsia" w:ascii="仿宋_GB2312" w:hAnsi="仿宋_GB2312" w:eastAsia="仿宋_GB2312" w:cs="楷体"/>
                <w:color w:val="auto"/>
              </w:rPr>
            </w:pPr>
            <w:r>
              <w:rPr>
                <w:rFonts w:hint="eastAsia" w:ascii="仿宋_GB2312" w:hAnsi="仿宋_GB2312" w:eastAsia="仿宋_GB2312" w:cs="楷体"/>
                <w:color w:val="auto"/>
              </w:rPr>
              <w:t>义务教育建设与提升工程</w:t>
            </w:r>
          </w:p>
          <w:p>
            <w:pPr>
              <w:pStyle w:val="12"/>
              <w:numPr>
                <w:ilvl w:val="0"/>
                <w:numId w:val="10"/>
              </w:numPr>
              <w:rPr>
                <w:rFonts w:hint="eastAsia" w:ascii="仿宋_GB2312" w:hAnsi="仿宋_GB2312" w:eastAsia="仿宋_GB2312" w:cs="楷体"/>
                <w:color w:val="auto"/>
              </w:rPr>
            </w:pPr>
            <w:r>
              <w:rPr>
                <w:rFonts w:hint="eastAsia" w:ascii="仿宋_GB2312" w:hAnsi="仿宋_GB2312" w:eastAsia="仿宋_GB2312" w:cs="楷体"/>
                <w:color w:val="auto"/>
              </w:rPr>
              <w:t>定安中学提升工程</w:t>
            </w:r>
          </w:p>
          <w:p>
            <w:pPr>
              <w:pStyle w:val="12"/>
              <w:numPr>
                <w:ilvl w:val="0"/>
                <w:numId w:val="10"/>
              </w:numPr>
              <w:rPr>
                <w:rFonts w:hint="eastAsia" w:ascii="仿宋_GB2312" w:hAnsi="仿宋_GB2312" w:eastAsia="仿宋_GB2312" w:cs="楷体"/>
                <w:color w:val="auto"/>
              </w:rPr>
            </w:pPr>
            <w:r>
              <w:rPr>
                <w:rFonts w:ascii="仿宋_GB2312" w:hAnsi="仿宋_GB2312" w:eastAsia="仿宋_GB2312" w:cs="楷体"/>
                <w:color w:val="auto"/>
              </w:rPr>
              <w:t>城南中学</w:t>
            </w:r>
            <w:r>
              <w:rPr>
                <w:rFonts w:hint="eastAsia" w:ascii="仿宋_GB2312" w:hAnsi="仿宋_GB2312" w:eastAsia="仿宋_GB2312" w:cs="楷体"/>
                <w:color w:val="auto"/>
              </w:rPr>
              <w:t>提升工程</w:t>
            </w:r>
          </w:p>
          <w:p>
            <w:pPr>
              <w:pStyle w:val="12"/>
              <w:numPr>
                <w:ilvl w:val="0"/>
                <w:numId w:val="10"/>
              </w:numPr>
              <w:rPr>
                <w:rFonts w:hint="eastAsia" w:ascii="仿宋_GB2312" w:hAnsi="仿宋_GB2312" w:eastAsia="仿宋_GB2312" w:cs="楷体"/>
                <w:color w:val="auto"/>
              </w:rPr>
            </w:pPr>
            <w:r>
              <w:rPr>
                <w:rFonts w:hint="eastAsia" w:ascii="仿宋_GB2312" w:hAnsi="仿宋_GB2312" w:eastAsia="仿宋_GB2312" w:cs="楷体"/>
                <w:color w:val="auto"/>
              </w:rPr>
              <w:t>塔岭中学（完全中学）</w:t>
            </w:r>
          </w:p>
          <w:p>
            <w:pPr>
              <w:pStyle w:val="12"/>
              <w:numPr>
                <w:ilvl w:val="0"/>
                <w:numId w:val="10"/>
              </w:numPr>
              <w:rPr>
                <w:color w:val="auto"/>
              </w:rPr>
            </w:pPr>
            <w:r>
              <w:rPr>
                <w:rFonts w:ascii="仿宋_GB2312" w:hAnsi="仿宋_GB2312" w:eastAsia="仿宋_GB2312" w:cs="楷体"/>
                <w:color w:val="auto"/>
              </w:rPr>
              <w:t>定安县特殊教育学校</w:t>
            </w:r>
          </w:p>
          <w:p>
            <w:pPr>
              <w:pStyle w:val="12"/>
              <w:numPr>
                <w:ilvl w:val="0"/>
                <w:numId w:val="10"/>
              </w:numPr>
              <w:rPr>
                <w:color w:val="auto"/>
              </w:rPr>
            </w:pPr>
            <w:r>
              <w:rPr>
                <w:rFonts w:hint="eastAsia" w:ascii="仿宋_GB2312" w:hAnsi="仿宋_GB2312" w:eastAsia="仿宋_GB2312" w:cs="楷体"/>
                <w:color w:val="auto"/>
              </w:rPr>
              <w:t>教育信息化提升工程</w:t>
            </w:r>
          </w:p>
          <w:p>
            <w:pPr>
              <w:pStyle w:val="12"/>
              <w:numPr>
                <w:ilvl w:val="0"/>
                <w:numId w:val="10"/>
              </w:numPr>
              <w:rPr>
                <w:rFonts w:hint="eastAsia" w:ascii="仿宋_GB2312" w:hAnsi="仿宋_GB2312" w:eastAsia="仿宋_GB2312" w:cs="楷体"/>
                <w:color w:val="auto"/>
              </w:rPr>
            </w:pPr>
            <w:r>
              <w:rPr>
                <w:rFonts w:hint="eastAsia" w:ascii="仿宋_GB2312" w:hAnsi="仿宋_GB2312" w:eastAsia="仿宋_GB2312" w:cs="楷体"/>
                <w:color w:val="auto"/>
              </w:rPr>
              <w:t>县委党校（行政学校）新校区项目</w:t>
            </w:r>
          </w:p>
          <w:p>
            <w:pPr>
              <w:pStyle w:val="12"/>
              <w:numPr>
                <w:ilvl w:val="0"/>
                <w:numId w:val="10"/>
              </w:numPr>
              <w:rPr>
                <w:rFonts w:hint="eastAsia" w:ascii="仿宋_GB2312" w:hAnsi="仿宋_GB2312" w:eastAsia="仿宋_GB2312" w:cs="楷体"/>
                <w:color w:val="auto"/>
              </w:rPr>
            </w:pPr>
            <w:r>
              <w:rPr>
                <w:rFonts w:hint="eastAsia" w:ascii="仿宋_GB2312" w:hAnsi="仿宋_GB2312" w:eastAsia="仿宋_GB2312" w:cs="楷体"/>
                <w:color w:val="auto"/>
              </w:rPr>
              <w:t>交通技工学校提升工程</w:t>
            </w:r>
          </w:p>
          <w:p>
            <w:pPr>
              <w:pStyle w:val="12"/>
              <w:numPr>
                <w:ilvl w:val="0"/>
                <w:numId w:val="10"/>
              </w:numPr>
              <w:rPr>
                <w:rFonts w:ascii="仿宋_GB2312" w:hAnsi="仿宋_GB2312" w:eastAsia="仿宋_GB2312" w:cs="楷体"/>
                <w:color w:val="auto"/>
                <w:kern w:val="2"/>
              </w:rPr>
            </w:pPr>
            <w:r>
              <w:rPr>
                <w:rFonts w:hint="eastAsia" w:ascii="仿宋_GB2312" w:hAnsi="仿宋_GB2312" w:eastAsia="仿宋_GB2312" w:cs="楷体"/>
                <w:color w:val="auto"/>
              </w:rPr>
              <w:t>母瑞山干部学院项目</w:t>
            </w:r>
          </w:p>
        </w:tc>
      </w:tr>
    </w:tbl>
    <w:p>
      <w:pPr>
        <w:spacing w:before="239" w:beforeLines="50" w:after="239" w:afterLines="50" w:line="560" w:lineRule="exact"/>
        <w:jc w:val="center"/>
        <w:outlineLvl w:val="1"/>
        <w:rPr>
          <w:rFonts w:hint="eastAsia" w:ascii="楷体_GB2312" w:hAnsi="楷体" w:eastAsia="楷体_GB2312" w:cs="楷体"/>
          <w:bCs/>
          <w:sz w:val="32"/>
          <w:szCs w:val="32"/>
        </w:rPr>
      </w:pPr>
      <w:bookmarkStart w:id="333" w:name="_Toc15046"/>
      <w:bookmarkStart w:id="334" w:name="_Toc14732"/>
      <w:bookmarkStart w:id="335" w:name="_Toc7204"/>
      <w:bookmarkStart w:id="336" w:name="_Toc26870"/>
      <w:bookmarkStart w:id="337" w:name="_Toc7970"/>
      <w:bookmarkStart w:id="338" w:name="_Toc25779"/>
      <w:bookmarkStart w:id="339" w:name="_Toc5229"/>
      <w:bookmarkStart w:id="340" w:name="_Toc27354"/>
      <w:bookmarkStart w:id="341" w:name="_Toc54189204"/>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第二节  强化医疗服务能力建设</w:t>
      </w:r>
      <w:bookmarkEnd w:id="333"/>
      <w:bookmarkEnd w:id="334"/>
      <w:bookmarkEnd w:id="335"/>
      <w:bookmarkEnd w:id="336"/>
      <w:bookmarkEnd w:id="337"/>
      <w:bookmarkEnd w:id="338"/>
      <w:bookmarkEnd w:id="339"/>
      <w:bookmarkEnd w:id="340"/>
      <w:bookmarkEnd w:id="341"/>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完善现代医疗卫生体系，纵深推进医药卫生体制改革，积极推进健康城市健康村镇建设，建立与自由贸易港高端人才高品质健康生活需求相适应的医疗服务能力，抓好疫情常态化防控，满足人民群众日益增长的健康需求。</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1.完善现代医疗卫生体系</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提升县级医院服务能力。</w:t>
      </w:r>
      <w:r>
        <w:rPr>
          <w:rFonts w:hint="eastAsia" w:ascii="仿宋_GB2312" w:hAnsi="仿宋_GB2312" w:eastAsia="仿宋_GB2312" w:cs="楷体"/>
          <w:sz w:val="32"/>
          <w:szCs w:val="32"/>
        </w:rPr>
        <w:t>充分发挥紧密型医联体合作优势，以打造省级重点专科为抓手，推进卒中、创伤、胸痛三大中心建设，筹备实施县人民医院康复大楼建设项目，进一步完善提高县人民医院综合医疗服务能力，力争建设成为三级综合医院。完善县中医院新门诊楼特殊科室二次装修项目，筹备开展县中医院住院楼项目，加强中医重点专科建设，开设老年病科和治未病专科，强化中医药康复基地建设，提升中医药在老年疾病、治未病和保健康复方面治疗能力。全面完成县妇幼保健院门诊综合楼建设，筹备开展住院医技综合楼项目，进一步提高妇幼健康服务能力。</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补齐基层医疗卫生短板。</w:t>
      </w:r>
      <w:r>
        <w:rPr>
          <w:rFonts w:hint="eastAsia" w:ascii="仿宋_GB2312" w:hAnsi="仿宋_GB2312" w:eastAsia="仿宋_GB2312" w:cs="楷体"/>
          <w:sz w:val="32"/>
          <w:szCs w:val="32"/>
        </w:rPr>
        <w:t>乡镇卫生院坚持公共卫生服务和基本医疗并重，完成基层医疗卫生机构标准化建设项目，实现基础设施建设到位、设备购置到位、人员配备到位，信息化建设基本完成，着力构建“15分钟城市健康服务圈，30分钟乡村健康服务圈”。发展特色专科，有效整合乡镇卫生院资源，集中专业力量，探索打造“一院一品”特色专科，重点提升三个中心卫生院医疗卫生服务能力，以点带面，全面提升全县基层医疗卫生服务能力。村卫生室加强村医能力建设，进一步强化村医服务能力，能够承担国家基本公共卫生服务项目、常见病多发病诊治和健康促进工作。</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大力发展智慧医疗。</w:t>
      </w:r>
      <w:r>
        <w:rPr>
          <w:rFonts w:hint="eastAsia" w:ascii="仿宋_GB2312" w:hAnsi="仿宋_GB2312" w:eastAsia="仿宋_GB2312" w:cs="楷体"/>
          <w:sz w:val="32"/>
          <w:szCs w:val="32"/>
        </w:rPr>
        <w:t>深入开展“互联网+医疗”，发挥医联体和医共体作用，推动远程诊疗全覆盖，让群众在家门口享受到、用得起大医院服务，实现优质资源共享。推广家庭智能健康监测设备，支持医疗领域5G、物联网等新基建发展。</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2.提升公共卫生服务能力</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加强疾控机构能力建设。</w:t>
      </w:r>
      <w:r>
        <w:rPr>
          <w:rFonts w:hint="eastAsia" w:ascii="仿宋_GB2312" w:hAnsi="仿宋_GB2312" w:eastAsia="仿宋_GB2312" w:cs="楷体"/>
          <w:sz w:val="32"/>
          <w:szCs w:val="32"/>
        </w:rPr>
        <w:t>实施疾控机构标准化建设项目，完善标准化基础设施，增建综合业务大楼，建设标准化实验室，加强信息标准化建设，提高理化和微生物检验能力，提升职业和放射卫生技术水平。</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建立健全传染病防控体系。</w:t>
      </w:r>
      <w:r>
        <w:rPr>
          <w:rFonts w:hint="eastAsia" w:ascii="仿宋_GB2312" w:hAnsi="仿宋_GB2312" w:eastAsia="仿宋_GB2312" w:cs="楷体"/>
          <w:sz w:val="32"/>
          <w:szCs w:val="32"/>
        </w:rPr>
        <w:t>提升传染病防治能力，实施县级公共卫生应急能力建设项目，组建县级的应急防控队伍，购置消杀车、快速检验车等特种车辆，以及现场快速处置背囊模块等相关设备、装备，并开展相关人员培训，实现疫区现场快速检测、消杀等处置工作。</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强化卫生应急保障。</w:t>
      </w:r>
      <w:r>
        <w:rPr>
          <w:rFonts w:hint="eastAsia" w:ascii="仿宋_GB2312" w:hAnsi="仿宋_GB2312" w:eastAsia="仿宋_GB2312" w:cs="楷体"/>
          <w:sz w:val="32"/>
          <w:szCs w:val="32"/>
        </w:rPr>
        <w:t>完善紧急医疗救援体系建设，实施县级急救中心建设项目，购置负压型救护车、监护型救护车，以及车载医疗设备。打造半小时急救圈。开展急救培训，逐步提高卫生应急能力建设水平，做好突发事件紧急医学救援和突发急性传染病防控工作以及大型活动卫生应急保障工作。</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实施县级医疗机构传染病综合救治能力提升项目。</w:t>
      </w:r>
      <w:r>
        <w:rPr>
          <w:rFonts w:hint="eastAsia" w:ascii="仿宋_GB2312" w:hAnsi="仿宋_GB2312" w:eastAsia="仿宋_GB2312" w:cs="楷体"/>
          <w:sz w:val="32"/>
          <w:szCs w:val="32"/>
        </w:rPr>
        <w:t>通过实施县人民医院医疗机构传染病综合救治能力提升项目、县妇幼保健院医疗机构传染病综合救治能力提升项目及县中医院急诊部和感染性疾病科门诊(发热门诊)、P2实验+PCR实验室建设项目，不断提高县级医疗卫生机构传染病综合救治能力。</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落实职业病防控措施。</w:t>
      </w:r>
      <w:r>
        <w:rPr>
          <w:rFonts w:hint="eastAsia" w:ascii="仿宋_GB2312" w:hAnsi="仿宋_GB2312" w:eastAsia="仿宋_GB2312" w:cs="楷体"/>
          <w:sz w:val="32"/>
          <w:szCs w:val="32"/>
        </w:rPr>
        <w:t>开展尘肺病防治攻坚，加强职业病预防培训，落实职业病患者救助保障措施。</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3.推进中医药传承创新发展</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打造中医药和西医药相互补充协调发展的卫生健康发展模式，全面提升中医药服务能力，实现县中医院在保持二级甲等中医医院的基础上医疗服务水平持续提高；所有社区卫生服务机构、乡镇卫生院和70%的村卫生室具备中医药服务能力；所有社区卫生服务中心和80%以上乡镇卫生院设立国医馆等中医综合服务区；力争基层中医药服务量达到30%以上目标。</w:t>
      </w:r>
    </w:p>
    <w:p>
      <w:pPr>
        <w:spacing w:line="560" w:lineRule="exact"/>
        <w:ind w:firstLine="642" w:firstLineChars="200"/>
        <w:outlineLvl w:val="2"/>
        <w:rPr>
          <w:rFonts w:ascii="仿宋_GB2312" w:hAnsi="仿宋_GB2312" w:eastAsia="仿宋_GB2312" w:cs="楷体"/>
          <w:b/>
          <w:bCs/>
          <w:sz w:val="32"/>
          <w:szCs w:val="32"/>
        </w:rPr>
      </w:pPr>
      <w:r>
        <w:rPr>
          <w:rFonts w:hint="eastAsia" w:ascii="仿宋_GB2312" w:hAnsi="仿宋_GB2312" w:eastAsia="仿宋_GB2312" w:cs="楷体"/>
          <w:b/>
          <w:bCs/>
          <w:sz w:val="32"/>
          <w:szCs w:val="32"/>
        </w:rPr>
        <w:t>4.抓好“一老一小”照护服务</w:t>
      </w:r>
    </w:p>
    <w:p>
      <w:pPr>
        <w:spacing w:line="560" w:lineRule="exact"/>
        <w:ind w:firstLine="640" w:firstLineChars="200"/>
        <w:rPr>
          <w:rFonts w:ascii="仿宋_GB2312" w:hAnsi="仿宋_GB2312" w:eastAsia="仿宋_GB2312" w:cs="楷体"/>
          <w:sz w:val="32"/>
          <w:szCs w:val="32"/>
        </w:rPr>
      </w:pPr>
      <w:r>
        <w:rPr>
          <w:rFonts w:hint="eastAsia" w:ascii="仿宋_GB2312" w:hAnsi="仿宋_GB2312" w:eastAsia="仿宋_GB2312" w:cs="楷体"/>
          <w:sz w:val="32"/>
          <w:szCs w:val="32"/>
        </w:rPr>
        <w:t>加强母婴安全保障，完善妇幼健康体系建设，逐步健全县、镇、村三级妇幼保健服务网络，进一步加强产科、危重孕产妇和新生儿救治中心建设，实施新生儿科能力建设项目，降低孕产妇和新生儿死亡率。加强出生缺陷干预和促进儿童健康，全力做好地中海贫血筛查诊断，整合孕前优生健康检查和婚前医学检查项目，减少出生缺陷发生，持续实施学生眼疾病筛查项目，保护儿童眼健康。加强应对老龄化各项工作，深化老年健康服务，筹建县中医院老年人病房，持续打造敬老院医养结合点，推进医疗卫生服务与养老服务的深度融合，推进老龄健康。关爱妇女健康，增加妇女常见病、“两癌”筛查项目，降低或减少此类病症的发生。</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5.加快推动计划生育服务转型</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继续稳妥实施好“全面两孩”政策，进一步完善政策配套，保持打击“两非”高压态势，促进出生人口性别比趋向正常，夯实计划生育基层基础，持续开展规范化乡镇建设，促进计划生育工作与脱贫攻坚工作有效融合，全面落实奖励扶助政策，进一步提升计划生育家庭发展能力。</w:t>
      </w:r>
    </w:p>
    <w:p>
      <w:pPr>
        <w:spacing w:line="560" w:lineRule="exact"/>
        <w:ind w:firstLine="642" w:firstLineChars="200"/>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6.统筹推进全域卫生（健康）创建</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在巩固提升省卫创建成果的同时，持续抓好县城（乡镇）创建基础性工作，全力推进国家卫生县城（乡镇）创建指标任务的落实。按照“把健康融入所有政策”要求，积极探索建立公共政策和重大项目健康审查制度，广泛开展健康社区、健康学校、健康企业、健康医院、健康家庭等健康“细胞”（健康促进场所）建设，倡导健康文明的生活方式，提升全民健康素养。积极开展健康城市健康村镇建设试点。深入推进病媒生物防制、无烟环境建设为主要内容的爱国卫生运动。</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7.大力推进医疗健康产业发展</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加快推动卫生健康理念和服务方式从以治病为中心向以健康为中心转变，为人民提供全方位全周期健康服务，加大医疗健康产业宣传，积极做好优质医疗资源的对接引入工作，进一步形成多元化办医格局，探索医养结合，促进医养/康养产业发展。</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8.不断完善卫生计生队伍建设</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完善人才流动机制，推动“县属乡用”“乡属村用”改革落实，实施卫生专业技术人员定期轮转计划，促进医疗资源进一步下沉。选派基层医疗卫生人员到省、县及医院进修培训，切实提升专业技术水平。建立一对一帮带发展机制，由各县级医疗机构一对一帮带乡镇卫生院，定期到各乡镇卫生院进行技术指导。完善基层医疗卫生人员激励政策，健全基层医疗卫生机构收入分配机制和绩效考核办法。</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9.加强医疗卫生行业综合监管</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建立完善医疗卫生行业综合监管机制，实施医疗机构和医疗服务全行业监管，优化医疗卫生服务准入流程，加强医疗服务质量、安全、行为和医保基金及公共卫生服务等监管，确保全过程监管责任到位、措施到位。</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sz w:val="24"/>
              </w:rPr>
            </w:pPr>
            <w:r>
              <w:rPr>
                <w:rFonts w:hint="eastAsia" w:ascii="仿宋_GB2312" w:hAnsi="仿宋_GB2312" w:eastAsia="仿宋_GB2312" w:cs="楷体"/>
                <w:sz w:val="24"/>
              </w:rPr>
              <w:t>专栏11：健康定安重点工程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基层医疗卫生机构标准化建设项目及配套工程</w:t>
            </w:r>
          </w:p>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县人民医院公共卫生防控救治能力项目</w:t>
            </w:r>
          </w:p>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县疾病预防控制中心综合业务楼项目</w:t>
            </w:r>
          </w:p>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县妇幼保健院二期项目</w:t>
            </w:r>
          </w:p>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县中医院提升工程</w:t>
            </w:r>
          </w:p>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医院服务能力及信息化建设工程</w:t>
            </w:r>
          </w:p>
          <w:p>
            <w:pPr>
              <w:numPr>
                <w:ilvl w:val="0"/>
                <w:numId w:val="11"/>
              </w:numPr>
              <w:rPr>
                <w:rFonts w:hint="eastAsia" w:ascii="仿宋_GB2312" w:hAnsi="仿宋_GB2312" w:eastAsia="仿宋_GB2312" w:cs="楷体"/>
                <w:sz w:val="24"/>
              </w:rPr>
            </w:pPr>
            <w:r>
              <w:rPr>
                <w:rFonts w:hint="eastAsia" w:ascii="仿宋_GB2312" w:hAnsi="仿宋_GB2312" w:eastAsia="仿宋_GB2312" w:cs="楷体"/>
                <w:sz w:val="24"/>
              </w:rPr>
              <w:t>健康文化园项目</w:t>
            </w:r>
          </w:p>
        </w:tc>
      </w:tr>
    </w:tbl>
    <w:p>
      <w:pPr>
        <w:spacing w:before="239" w:beforeLines="50" w:after="239" w:afterLines="50" w:line="560" w:lineRule="exact"/>
        <w:ind w:left="0" w:leftChars="0" w:firstLine="0" w:firstLineChars="0"/>
        <w:jc w:val="both"/>
        <w:outlineLvl w:val="1"/>
        <w:rPr>
          <w:rFonts w:hint="eastAsia" w:ascii="楷体_GB2312" w:hAnsi="楷体" w:eastAsia="楷体_GB2312" w:cs="楷体"/>
          <w:bCs/>
          <w:sz w:val="32"/>
          <w:szCs w:val="32"/>
        </w:rPr>
      </w:pPr>
      <w:bookmarkStart w:id="342" w:name="_Toc26669"/>
      <w:bookmarkStart w:id="343" w:name="_Toc28523"/>
      <w:bookmarkStart w:id="344" w:name="_Toc19321"/>
      <w:bookmarkStart w:id="345" w:name="_Toc5538"/>
      <w:bookmarkStart w:id="346" w:name="_Toc54189205"/>
      <w:bookmarkStart w:id="347" w:name="_Toc24810"/>
      <w:bookmarkStart w:id="348" w:name="_Toc1704"/>
      <w:bookmarkStart w:id="349" w:name="_Toc22391"/>
      <w:bookmarkStart w:id="350" w:name="_Toc24454"/>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第三节  大力促进就业扶持创业</w:t>
      </w:r>
      <w:bookmarkEnd w:id="342"/>
      <w:bookmarkEnd w:id="343"/>
      <w:bookmarkEnd w:id="344"/>
      <w:bookmarkEnd w:id="345"/>
      <w:bookmarkEnd w:id="346"/>
      <w:bookmarkEnd w:id="347"/>
      <w:bookmarkEnd w:id="348"/>
      <w:bookmarkEnd w:id="349"/>
      <w:bookmarkEnd w:id="350"/>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提高城乡居民收入水平。</w:t>
      </w:r>
      <w:r>
        <w:rPr>
          <w:rFonts w:hint="eastAsia" w:ascii="仿宋_GB2312" w:hAnsi="仿宋_GB2312" w:eastAsia="仿宋_GB2312" w:cs="楷体"/>
          <w:sz w:val="32"/>
          <w:szCs w:val="32"/>
        </w:rPr>
        <w:t>健全工资正常增长机制，实现城乡居民收入增长与经济增长同步。着力提高低收入群体收入，扩大中等收入群体，逐步缩小城乡居民收入差距。多渠道增加城乡居民财产性收入，不断扩大经营性收入。落实中央和省关于机关事业单位工资分配政策。强化“菜篮子”“米袋子”主体责任，加快畜禽和蔬菜生产基地建设，加大物价调控力度，使城乡居民生活一年比一年好。</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大力促进就业扶持创业。</w:t>
      </w:r>
      <w:r>
        <w:rPr>
          <w:rFonts w:hint="eastAsia" w:ascii="仿宋_GB2312" w:hAnsi="仿宋_GB2312" w:eastAsia="仿宋_GB2312" w:cs="楷体"/>
          <w:sz w:val="32"/>
          <w:szCs w:val="32"/>
        </w:rPr>
        <w:t>千方百计稳定和扩大就业，深入实施就业优先政策，有序推进农村富余劳动力转移就业。完善重点就业群体支持体系，加大就业教育培训，稳定增加就业岗位，扩大公益性岗位安置，着力帮扶残疾人就业、零就业家庭成员就业，加强农民工、高校毕业生、退役军人、妇女或农村妇女等就业群体职业技能培训力度，促进就业创业，建设创业孵化基地，发挥创业投资引导基金作用，推动创业创新和金融资本有效对接，鼓励更多市场主体和社会主体投身创新创业。落实减税降费政策和清理规范涉企收费有关政策，发挥好小微企业就业主渠道作用。依托建设“智慧就业”信息系统，打造线上线下一体化就业综合服务平台，推动实现内外就业信息互联互通，提升公共就业服务智能化水平。</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351" w:name="_Toc54189206"/>
      <w:bookmarkStart w:id="352" w:name="_Toc22930"/>
      <w:bookmarkStart w:id="353" w:name="_Toc10363"/>
      <w:bookmarkStart w:id="354" w:name="_Toc8199"/>
      <w:bookmarkStart w:id="355" w:name="_Toc31235"/>
      <w:bookmarkStart w:id="356" w:name="_Toc7659"/>
      <w:bookmarkStart w:id="357" w:name="_Toc22381"/>
      <w:bookmarkStart w:id="358" w:name="_Toc12697"/>
      <w:bookmarkStart w:id="359" w:name="_Toc377"/>
      <w:r>
        <w:rPr>
          <w:rFonts w:hint="eastAsia" w:ascii="楷体_GB2312" w:hAnsi="楷体" w:eastAsia="楷体_GB2312" w:cs="楷体"/>
          <w:bCs/>
          <w:sz w:val="32"/>
          <w:szCs w:val="32"/>
        </w:rPr>
        <w:t>第四节  建立健全社会保障体系</w:t>
      </w:r>
      <w:bookmarkEnd w:id="351"/>
      <w:bookmarkEnd w:id="352"/>
      <w:bookmarkEnd w:id="353"/>
      <w:bookmarkEnd w:id="354"/>
      <w:bookmarkEnd w:id="355"/>
      <w:bookmarkEnd w:id="356"/>
      <w:bookmarkEnd w:id="357"/>
      <w:bookmarkEnd w:id="358"/>
      <w:bookmarkEnd w:id="359"/>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坚持全覆盖、保基本、多层次、可持续的基本方针，从增强公平性、适应流动性、保证可持续性出发，全面推进社会保障体系建设，确保覆盖城乡居民的社会保障体系基本建立，保障项目日益完备，制度运行安全有序，保障水平稳步提高，人民群众更多地分享到经济社会发展成果。</w:t>
      </w:r>
    </w:p>
    <w:p>
      <w:pPr>
        <w:spacing w:line="560" w:lineRule="exact"/>
        <w:ind w:firstLine="642" w:firstLineChars="200"/>
        <w:outlineLvl w:val="2"/>
        <w:rPr>
          <w:rFonts w:hint="eastAsia" w:ascii="仿宋_GB2312" w:hAnsi="仿宋_GB2312" w:eastAsia="仿宋_GB2312" w:cs="楷体"/>
          <w:b/>
          <w:bCs/>
          <w:sz w:val="32"/>
          <w:szCs w:val="32"/>
        </w:rPr>
      </w:pPr>
      <w:bookmarkStart w:id="360" w:name="_Toc7302"/>
      <w:r>
        <w:rPr>
          <w:rFonts w:hint="eastAsia" w:ascii="仿宋_GB2312" w:hAnsi="仿宋_GB2312" w:eastAsia="仿宋_GB2312" w:cs="楷体"/>
          <w:b/>
          <w:bCs/>
          <w:sz w:val="32"/>
          <w:szCs w:val="32"/>
        </w:rPr>
        <w:t>1.积极创新发展养老服务</w:t>
      </w:r>
      <w:bookmarkEnd w:id="360"/>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完善以“居家为基础、社区为依托、机构为补充、医养相结合”的养老服务体系。科学规划社区养老设施布局，推进城乡社区居家养老服务设施示范点、城乡社区老年人日间照料中心、定安县综合养老服务示范中心建设。利用社区服务将居家养老和机构养老有机融合，推动社区、社工、社会组织“三社联动”机制建设，为老人提供家政、餐饮、医疗、生活用品、居家安全以日间照料等服务。发展养老产业，吸引社会资本兴办养老服务机构，开发老年健康养生类、文化体育类产业项目，支持医疗机构与养老机构协作，扶持医养结合型养老机构建设。完善老年权益保障，适时提高高龄老年人生活补贴标准，提高老年人获得感、幸福感、安全感。</w:t>
      </w:r>
    </w:p>
    <w:p>
      <w:pPr>
        <w:spacing w:line="560" w:lineRule="exact"/>
        <w:ind w:firstLine="642" w:firstLineChars="200"/>
        <w:outlineLvl w:val="2"/>
        <w:rPr>
          <w:rFonts w:hint="eastAsia" w:ascii="仿宋_GB2312" w:hAnsi="仿宋_GB2312" w:eastAsia="仿宋_GB2312" w:cs="楷体"/>
          <w:b/>
          <w:bCs/>
          <w:sz w:val="32"/>
          <w:szCs w:val="32"/>
        </w:rPr>
      </w:pPr>
      <w:bookmarkStart w:id="361" w:name="_Toc30505"/>
      <w:bookmarkStart w:id="362" w:name="_Toc31613"/>
      <w:bookmarkStart w:id="363" w:name="_Toc25851"/>
      <w:r>
        <w:rPr>
          <w:rFonts w:hint="eastAsia" w:ascii="仿宋_GB2312" w:hAnsi="仿宋_GB2312" w:eastAsia="仿宋_GB2312" w:cs="楷体"/>
          <w:b/>
          <w:bCs/>
          <w:sz w:val="32"/>
          <w:szCs w:val="32"/>
        </w:rPr>
        <w:t>2.构建多层次社会救助体系</w:t>
      </w:r>
      <w:bookmarkEnd w:id="361"/>
      <w:bookmarkEnd w:id="362"/>
      <w:bookmarkEnd w:id="363"/>
    </w:p>
    <w:p>
      <w:pPr>
        <w:spacing w:line="560" w:lineRule="exact"/>
        <w:ind w:firstLine="641"/>
        <w:rPr>
          <w:rFonts w:hint="eastAsia" w:ascii="仿宋_GB2312" w:hAnsi="仿宋" w:eastAsia="仿宋_GB2312"/>
          <w:sz w:val="32"/>
          <w:szCs w:val="32"/>
        </w:rPr>
      </w:pPr>
      <w:r>
        <w:rPr>
          <w:rFonts w:hint="eastAsia" w:ascii="仿宋_GB2312" w:hAnsi="仿宋_GB2312" w:eastAsia="仿宋_GB2312" w:cs="楷体"/>
          <w:sz w:val="32"/>
          <w:szCs w:val="32"/>
        </w:rPr>
        <w:t>完善保障与发展相结合的制度体系，社会救助范围覆盖基于居住证制度的全部常住人口，通过完善保障型、发展型、服务类专项救助体系，统筹好社会救助、社会福利、就业安置等资源，逐层覆盖各个困难群体，形成完善有效的救助制度；</w:t>
      </w:r>
      <w:r>
        <w:rPr>
          <w:rFonts w:hint="eastAsia" w:ascii="仿宋_GB2312" w:hAnsi="仿宋_GB2312" w:eastAsia="仿宋_GB2312" w:cs="宋体"/>
          <w:bCs/>
          <w:kern w:val="0"/>
          <w:sz w:val="32"/>
          <w:szCs w:val="32"/>
        </w:rPr>
        <w:t>建立城乡低收入家庭专项救助制度，推动形成低保、城镇困难职工和低收入家庭梯度救助格局。</w:t>
      </w:r>
      <w:r>
        <w:rPr>
          <w:rFonts w:hint="eastAsia" w:ascii="仿宋_GB2312" w:hAnsi="仿宋_GB2312" w:eastAsia="仿宋_GB2312" w:cs="楷体"/>
          <w:sz w:val="32"/>
          <w:szCs w:val="32"/>
        </w:rPr>
        <w:t>在保障城乡低保对象、特困人员的基础上，向低收入家庭延伸，形成应保尽保格局；</w:t>
      </w:r>
      <w:r>
        <w:rPr>
          <w:rFonts w:hint="eastAsia" w:ascii="仿宋_GB2312" w:hAnsi="仿宋" w:eastAsia="仿宋_GB2312"/>
          <w:sz w:val="32"/>
          <w:szCs w:val="32"/>
        </w:rPr>
        <w:t>加强对社会救助对象居民家庭经济状况核查，提高社会救助精准度</w:t>
      </w:r>
      <w:r>
        <w:rPr>
          <w:rFonts w:hint="eastAsia" w:ascii="仿宋_GB2312" w:hAnsi="仿宋_GB2312" w:eastAsia="仿宋_GB2312" w:cs="楷体"/>
          <w:sz w:val="32"/>
          <w:szCs w:val="32"/>
        </w:rPr>
        <w:t>；在脱贫攻坚任务结束后的后扶贫时代，加强社会救助覆盖面的拓展，社会救助对象应从绝对贫困群体扩大到相对贫困群体，以承担新时代贫困治理重任；救助范围应从单一的物质救助向全方位的服务救助延伸，在提供兜底保障的基础上，赋予受助者脱贫自立能力，帮助其融入发展。</w:t>
      </w:r>
      <w:r>
        <w:rPr>
          <w:rFonts w:hint="eastAsia" w:ascii="仿宋_GB2312" w:hAnsi="仿宋" w:eastAsia="仿宋_GB2312"/>
          <w:sz w:val="32"/>
          <w:szCs w:val="32"/>
        </w:rPr>
        <w:t>加快社会救助管理规范化、标准化、信息化进程。鼓励社会力量参与社会救助。</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3.优化社会保险管理服务</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健全社保管理制度，持续优化业务流程，完善经办系统，建设业务受理平台，</w:t>
      </w:r>
      <w:r>
        <w:rPr>
          <w:rFonts w:hint="eastAsia" w:ascii="仿宋_GB2312" w:hAnsi="宋体" w:eastAsia="仿宋_GB2312"/>
          <w:sz w:val="32"/>
          <w:szCs w:val="32"/>
        </w:rPr>
        <w:t>推行综合柜员制经办服务模式，启动网上信息查询系统，</w:t>
      </w:r>
      <w:r>
        <w:rPr>
          <w:rFonts w:hint="eastAsia" w:ascii="仿宋_GB2312" w:hAnsi="仿宋_GB2312" w:eastAsia="仿宋_GB2312" w:cs="楷体"/>
          <w:sz w:val="32"/>
          <w:szCs w:val="32"/>
        </w:rPr>
        <w:t>进一步提升社保服务的标准化、智能化和便利化水平。基本实现社会保险服务对象、服务网络和服务功能的全覆盖，更好地实现对参保人员“记录一生、保障一生、服务一生”。健全城乡居民养老保险基础养老金正常调整机制和大病保险制度，构建以费率调节为主、预防基金为辅的工伤预防制度体系，推进职业年金、企业年金、补充医疗保险普及，构建多层次保险体系。推进社保扩面征缴，依托全民参保登记信息系统及基层公共服务平台，开展全员管理、动态管理、精确管理，鼓励灵活就业人员、外来务工人员主动参保，将进城落户农民纳入社会保障体系，提升基本医疗保险参保率，落实特殊群体应保尽保。推动城乡居民基本养老、基本医疗保险社会统筹与个人账户结合，建立长缴多得、多缴多得的激励机制。升级社保服务模式，建立一站式社会保险服务平台，完善以社会保障卡为载体的一卡通服务，拓展社会保障卡在民生服务领域中应用范围，推动实现全县域“一卡多用、一卡通用”。落实基本养老、基本医疗保险关系转移接续政策，保障跨地区流动可无障碍转移接续。</w:t>
      </w:r>
      <w:r>
        <w:rPr>
          <w:rFonts w:hint="eastAsia" w:ascii="仿宋_GB2312" w:hAnsi="宋体" w:eastAsia="仿宋_GB2312"/>
          <w:sz w:val="32"/>
          <w:szCs w:val="32"/>
        </w:rPr>
        <w:t>加强社会保险缴费诚信体制建设，进一步完善缴费承诺和公示制度。建立业务、稽核、财务内控机制，进一步增强约束力，实现社会保险基金统一征缴后分别入帐、专户管理、规范运作，防范、化解基金管理风险，保证基金的安全和完整。</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4.健全住房保障和供应体系</w:t>
      </w:r>
    </w:p>
    <w:p>
      <w:pPr>
        <w:spacing w:line="560" w:lineRule="exact"/>
        <w:ind w:firstLine="641"/>
        <w:rPr>
          <w:rFonts w:hint="eastAsia" w:ascii="仿宋_GB2312" w:hAnsi="仿宋" w:eastAsia="仿宋_GB2312"/>
          <w:sz w:val="32"/>
          <w:szCs w:val="32"/>
        </w:rPr>
      </w:pPr>
      <w:r>
        <w:rPr>
          <w:rFonts w:hint="eastAsia" w:ascii="仿宋_GB2312" w:hAnsi="仿宋" w:eastAsia="仿宋_GB2312"/>
          <w:sz w:val="32"/>
          <w:szCs w:val="32"/>
        </w:rPr>
        <w:t>强化城市主体责任，稳地价、稳房价、稳预期，建立健全房地产调控长效机制。坚持“房住不炒”，建立多主体供给、多渠道保障、租购并举的住房制度。推进人才住房保障政策落地，加快推进安居型商品住房等各类住房建设，推进棚户区、城镇老旧小区改造。加快房地产业转型，鼓励发展商务地产、旅游地产、商业地产、工业地产、安居型商品住房、公共租赁住房、市场化租赁住房、人才住房、棚户区改造、老旧小区改造等十种房地产。加强房地产市场管控，严厉查处各类违法违规行为，促进房地产市场平稳健康发展。按照总量控制、适度建设原则，严格落实商品住房建设年度指标。</w:t>
      </w:r>
    </w:p>
    <w:p>
      <w:pPr>
        <w:spacing w:line="560" w:lineRule="exact"/>
        <w:ind w:firstLine="642" w:firstLineChars="200"/>
        <w:outlineLvl w:val="2"/>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5.强化未成年人关爱保障</w:t>
      </w:r>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加强基层儿童工作队伍建设，开展孤弃儿童养育情况定期排查，进一步健全农村留守儿童和困境儿童关爱服务体系。逐步完善未成年人关爱相关配套体系建设。加强对未成年人犯罪开展帮教回访工作，教育、感化、挽救、矫治未成年犯罪，为未成年人创造一个改过自新重回校园、回归社会的环境。</w:t>
      </w:r>
    </w:p>
    <w:p>
      <w:pPr>
        <w:spacing w:line="560" w:lineRule="exact"/>
        <w:ind w:firstLine="642" w:firstLineChars="200"/>
        <w:outlineLvl w:val="2"/>
        <w:rPr>
          <w:rFonts w:hint="eastAsia" w:ascii="仿宋_GB2312" w:hAnsi="仿宋_GB2312" w:eastAsia="仿宋_GB2312" w:cs="楷体"/>
          <w:b/>
          <w:bCs/>
          <w:sz w:val="32"/>
          <w:szCs w:val="32"/>
        </w:rPr>
      </w:pPr>
      <w:bookmarkStart w:id="364" w:name="_Toc22067"/>
      <w:bookmarkStart w:id="365" w:name="_Toc18731"/>
      <w:bookmarkStart w:id="366" w:name="_Toc3935"/>
      <w:r>
        <w:rPr>
          <w:rFonts w:hint="eastAsia" w:ascii="仿宋_GB2312" w:hAnsi="仿宋_GB2312" w:eastAsia="仿宋_GB2312" w:cs="楷体"/>
          <w:b/>
          <w:bCs/>
          <w:sz w:val="32"/>
          <w:szCs w:val="32"/>
        </w:rPr>
        <w:t>6.加大力度推行绿色殡葬</w:t>
      </w:r>
      <w:bookmarkEnd w:id="364"/>
      <w:bookmarkEnd w:id="365"/>
      <w:bookmarkEnd w:id="366"/>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加大殡葬服务基础设施建设力度，有序推进生态公墓、骨灰存放场所等基础设施建设。完善相关实施细则，规范文明殡葬行为，推行惠民殡葬补贴等措施有效遏制违规土葬行为。加大丧葬习俗改革力度，倡导节地生态、绿色环保的现代殡葬理念。</w:t>
      </w:r>
    </w:p>
    <w:p>
      <w:pPr>
        <w:spacing w:line="560" w:lineRule="exact"/>
        <w:ind w:firstLine="642" w:firstLineChars="200"/>
        <w:rPr>
          <w:rFonts w:hint="eastAsia" w:ascii="仿宋_GB2312" w:hAnsi="仿宋_GB2312" w:eastAsia="仿宋_GB2312" w:cs="楷体"/>
          <w:b/>
          <w:bCs/>
          <w:sz w:val="32"/>
          <w:szCs w:val="32"/>
        </w:rPr>
      </w:pPr>
      <w:r>
        <w:rPr>
          <w:rFonts w:hint="eastAsia" w:ascii="仿宋_GB2312" w:hAnsi="仿宋_GB2312" w:eastAsia="仿宋_GB2312" w:cs="楷体"/>
          <w:b/>
          <w:bCs/>
          <w:sz w:val="32"/>
          <w:szCs w:val="32"/>
        </w:rPr>
        <w:t>7.逐步建立社区托幼服务体系</w:t>
      </w:r>
    </w:p>
    <w:p>
      <w:pPr>
        <w:pStyle w:val="12"/>
        <w:spacing w:line="560" w:lineRule="exact"/>
        <w:ind w:firstLine="640" w:firstLineChars="200"/>
        <w:jc w:val="both"/>
        <w:rPr>
          <w:rFonts w:hint="eastAsia" w:ascii="仿宋_GB2312" w:hAnsi="仿宋_GB2312" w:eastAsia="仿宋_GB2312" w:cs="楷体"/>
          <w:color w:val="auto"/>
          <w:sz w:val="32"/>
          <w:szCs w:val="32"/>
        </w:rPr>
      </w:pPr>
      <w:r>
        <w:rPr>
          <w:rFonts w:hint="eastAsia" w:ascii="仿宋_GB2312" w:hAnsi="仿宋_GB2312" w:eastAsia="仿宋_GB2312" w:cs="楷体"/>
          <w:color w:val="auto"/>
          <w:sz w:val="32"/>
          <w:szCs w:val="32"/>
        </w:rPr>
        <w:t>坚持以人民为中心的发展理念，紧紧围绕“一老一小家庭服务要求，发掘一批成功培育托幼的品牌机构，实施托幼工程，满足人民群众对婴幼儿照顾和看护的需求，充分发挥社会力量，丰富完善社区托幼服务，不断满足人民群众多元化、多层次托幼的服务需求。</w:t>
      </w:r>
    </w:p>
    <w:p>
      <w:pPr>
        <w:pStyle w:val="12"/>
        <w:spacing w:line="560" w:lineRule="exact"/>
        <w:ind w:firstLine="642" w:firstLineChars="200"/>
        <w:jc w:val="both"/>
        <w:rPr>
          <w:rFonts w:hint="eastAsia" w:ascii="仿宋_GB2312" w:hAnsi="仿宋_GB2312" w:eastAsia="仿宋_GB2312" w:cs="楷体"/>
          <w:b/>
          <w:bCs/>
          <w:color w:val="auto"/>
          <w:sz w:val="32"/>
          <w:szCs w:val="32"/>
          <w:lang w:bidi="ar"/>
        </w:rPr>
      </w:pPr>
      <w:r>
        <w:rPr>
          <w:rFonts w:hint="eastAsia" w:ascii="仿宋_GB2312" w:hAnsi="仿宋_GB2312" w:eastAsia="仿宋_GB2312" w:cs="楷体"/>
          <w:b/>
          <w:bCs/>
          <w:color w:val="auto"/>
          <w:sz w:val="32"/>
          <w:szCs w:val="32"/>
        </w:rPr>
        <w:t>8.</w:t>
      </w:r>
      <w:r>
        <w:rPr>
          <w:rFonts w:hint="eastAsia" w:ascii="仿宋_GB2312" w:hAnsi="仿宋_GB2312" w:eastAsia="仿宋_GB2312" w:cs="楷体"/>
          <w:b/>
          <w:bCs/>
          <w:color w:val="auto"/>
          <w:sz w:val="32"/>
          <w:szCs w:val="32"/>
          <w:lang w:bidi="ar"/>
        </w:rPr>
        <w:t>健全气象防灾减灾体系，加快气象现代化建设</w:t>
      </w:r>
    </w:p>
    <w:p>
      <w:pPr>
        <w:pStyle w:val="12"/>
        <w:spacing w:line="560" w:lineRule="exact"/>
        <w:ind w:firstLine="640"/>
        <w:rPr>
          <w:rFonts w:hint="eastAsia" w:ascii="仿宋_GB2312" w:hAnsi="仿宋_GB2312" w:eastAsia="仿宋_GB2312" w:cs="楷体"/>
          <w:color w:val="auto"/>
          <w:sz w:val="32"/>
          <w:szCs w:val="32"/>
        </w:rPr>
      </w:pPr>
      <w:r>
        <w:rPr>
          <w:rFonts w:hint="eastAsia" w:ascii="仿宋_GB2312" w:hAnsi="仿宋_GB2312" w:eastAsia="仿宋_GB2312" w:cs="楷体"/>
          <w:color w:val="auto"/>
          <w:sz w:val="32"/>
          <w:szCs w:val="32"/>
          <w:lang w:bidi="ar"/>
        </w:rPr>
        <w:t>健全气象防灾减灾体系，加快气象现代化建设，逐步建成政府主导，部门联动，社会参与的气象防灾减灾体系。加快建设气象防灾减灾保障工程，推进气象业务一体化建设，建设定安气象科普基地。完善精细化气象服务体系，建立定安县水库流域面雨量全覆盖雨量观测业务体系，推进水库气象保障服务研究型业务的开展，并建立重点水库科学蓄水调度预报业务。</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sz w:val="24"/>
              </w:rPr>
            </w:pPr>
            <w:r>
              <w:rPr>
                <w:rFonts w:hint="eastAsia" w:ascii="仿宋_GB2312" w:hAnsi="仿宋_GB2312" w:eastAsia="仿宋_GB2312" w:cs="楷体"/>
                <w:sz w:val="24"/>
              </w:rPr>
              <w:t>专栏12：社会保障重点工程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老旧小区改造项目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定安乡镇周转房建设项目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江南饮料厂片区棚户区改造</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老公安局棚户区改造项目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安居型商品房项目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人才住房项目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市场化租赁住房项目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定安县老年人日间照料中心项目</w:t>
            </w:r>
          </w:p>
          <w:p>
            <w:pPr>
              <w:numPr>
                <w:ilvl w:val="0"/>
                <w:numId w:val="12"/>
              </w:numPr>
              <w:rPr>
                <w:rFonts w:hint="eastAsia" w:ascii="仿宋_GB2312" w:hAnsi="仿宋_GB2312" w:eastAsia="仿宋_GB2312" w:cs="楷体"/>
                <w:sz w:val="24"/>
              </w:rPr>
            </w:pPr>
            <w:r>
              <w:rPr>
                <w:rFonts w:hint="eastAsia" w:ascii="仿宋_GB2312" w:hAnsi="仿宋_GB2312" w:eastAsia="仿宋_GB2312" w:cs="楷体"/>
                <w:sz w:val="24"/>
              </w:rPr>
              <w:t>定安县社会福利中心——医养综合楼、二号养护楼及周边室外工程建设项目</w:t>
            </w:r>
          </w:p>
          <w:p>
            <w:pPr>
              <w:numPr>
                <w:ilvl w:val="0"/>
                <w:numId w:val="12"/>
              </w:numPr>
              <w:rPr>
                <w:rFonts w:eastAsia="仿宋_GB2312"/>
              </w:rPr>
            </w:pPr>
            <w:r>
              <w:rPr>
                <w:rFonts w:hint="eastAsia" w:ascii="仿宋_GB2312" w:hAnsi="仿宋_GB2312" w:eastAsia="仿宋_GB2312" w:cs="楷体"/>
                <w:sz w:val="24"/>
              </w:rPr>
              <w:t>县级大型殡仪馆一座项目</w:t>
            </w:r>
          </w:p>
        </w:tc>
      </w:tr>
    </w:tbl>
    <w:p>
      <w:pPr>
        <w:pStyle w:val="12"/>
        <w:spacing w:before="239" w:beforeLines="50" w:after="239" w:afterLines="50" w:line="560" w:lineRule="exact"/>
        <w:jc w:val="center"/>
        <w:outlineLvl w:val="0"/>
        <w:rPr>
          <w:rFonts w:hint="eastAsia" w:ascii="黑体" w:hAnsi="黑体" w:eastAsia="黑体"/>
          <w:bCs/>
          <w:color w:val="auto"/>
          <w:sz w:val="32"/>
          <w:szCs w:val="32"/>
        </w:rPr>
      </w:pPr>
      <w:bookmarkStart w:id="367" w:name="_Toc54189207"/>
      <w:bookmarkStart w:id="368" w:name="_Toc14882"/>
      <w:bookmarkStart w:id="369" w:name="_Toc13762"/>
      <w:bookmarkStart w:id="370" w:name="_Toc23897"/>
      <w:bookmarkStart w:id="371" w:name="_Toc30703"/>
      <w:bookmarkStart w:id="372" w:name="_Toc5054"/>
      <w:bookmarkStart w:id="373" w:name="_Toc713"/>
      <w:bookmarkStart w:id="374" w:name="_Toc18025"/>
      <w:bookmarkStart w:id="375" w:name="_Toc20826"/>
    </w:p>
    <w:p>
      <w:pPr>
        <w:pStyle w:val="12"/>
        <w:spacing w:before="239" w:beforeLines="50" w:after="239" w:afterLines="50" w:line="560" w:lineRule="exact"/>
        <w:ind w:left="0" w:leftChars="0" w:firstLine="0" w:firstLineChars="0"/>
        <w:jc w:val="center"/>
        <w:outlineLvl w:val="0"/>
        <w:rPr>
          <w:rFonts w:hint="eastAsia" w:ascii="黑体" w:hAnsi="黑体" w:eastAsia="黑体"/>
          <w:bCs/>
          <w:color w:val="auto"/>
          <w:sz w:val="32"/>
          <w:szCs w:val="32"/>
        </w:rPr>
      </w:pPr>
      <w:r>
        <w:rPr>
          <w:rFonts w:hint="eastAsia" w:ascii="黑体" w:hAnsi="黑体" w:eastAsia="黑体"/>
          <w:bCs/>
          <w:color w:val="auto"/>
          <w:sz w:val="32"/>
          <w:szCs w:val="32"/>
        </w:rPr>
        <w:t>第九章  繁荣城乡文化事业，</w:t>
      </w:r>
      <w:bookmarkEnd w:id="367"/>
      <w:bookmarkEnd w:id="368"/>
      <w:bookmarkEnd w:id="369"/>
      <w:bookmarkEnd w:id="370"/>
      <w:bookmarkEnd w:id="371"/>
      <w:bookmarkEnd w:id="372"/>
      <w:r>
        <w:rPr>
          <w:rFonts w:hint="eastAsia" w:ascii="黑体" w:hAnsi="黑体" w:eastAsia="黑体"/>
          <w:bCs/>
          <w:color w:val="auto"/>
          <w:sz w:val="32"/>
          <w:szCs w:val="32"/>
        </w:rPr>
        <w:t>建设文化定安</w:t>
      </w:r>
      <w:bookmarkEnd w:id="373"/>
      <w:bookmarkEnd w:id="374"/>
      <w:bookmarkEnd w:id="375"/>
    </w:p>
    <w:p>
      <w:pPr>
        <w:spacing w:line="560" w:lineRule="exact"/>
        <w:ind w:firstLine="640" w:firstLineChars="200"/>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坚持以社会主义核心价值观引领文化建设，统筹文化事业和文化产业发展，发挥以文化人、以文惠民、以文促产作用，把定安打造成海南文化交流的重要窗口。</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376" w:name="_Toc5081"/>
      <w:bookmarkStart w:id="377" w:name="_Toc19584"/>
      <w:bookmarkStart w:id="378" w:name="_Toc22549"/>
      <w:bookmarkStart w:id="379" w:name="_Toc16111"/>
      <w:bookmarkStart w:id="380" w:name="_Toc4384"/>
      <w:r>
        <w:rPr>
          <w:rFonts w:hint="eastAsia" w:ascii="楷体_GB2312" w:hAnsi="楷体" w:eastAsia="楷体_GB2312" w:cs="楷体"/>
          <w:bCs/>
          <w:sz w:val="32"/>
          <w:szCs w:val="32"/>
        </w:rPr>
        <w:t>第一节  提高社会文明程度</w:t>
      </w:r>
      <w:bookmarkEnd w:id="376"/>
      <w:bookmarkEnd w:id="377"/>
      <w:bookmarkEnd w:id="378"/>
      <w:bookmarkEnd w:id="379"/>
      <w:bookmarkEnd w:id="380"/>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弘扬爱国主义、特区精神和母瑞山精神。</w:t>
      </w:r>
      <w:r>
        <w:rPr>
          <w:rFonts w:hint="eastAsia" w:ascii="仿宋_GB2312" w:hAnsi="仿宋_GB2312" w:eastAsia="仿宋_GB2312" w:cs="宋体"/>
          <w:bCs/>
          <w:kern w:val="0"/>
          <w:sz w:val="32"/>
          <w:szCs w:val="32"/>
        </w:rPr>
        <w:t>坚持党管宣传、党管意识形态、党管媒体的原则，牢牢掌握意识形态工作的领导权、主导权，推动理想信念教育常态化制度化。大力弘扬“敢闯敢试、敢为人先、埋头苦干”的特区精神、“扎根守土、坚韧不拔、无私奉献”的椰树精神和“二十三年红旗不倒”的母瑞山精神。广泛开展双拥共建活动，完善军民融合发展体制机制。</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深入开展社会文明大行动。</w:t>
      </w:r>
      <w:r>
        <w:rPr>
          <w:rFonts w:hint="eastAsia" w:ascii="仿宋_GB2312" w:hAnsi="仿宋_GB2312" w:eastAsia="仿宋_GB2312" w:cs="宋体"/>
          <w:bCs/>
          <w:kern w:val="0"/>
          <w:sz w:val="32"/>
          <w:szCs w:val="32"/>
        </w:rPr>
        <w:t>推进公民道德建设和诚信建设，发挥新时代文明实践中心作用，深入开展社会文明大行动，深化“五大文明创建活动”，深化文明生态村创建活动，深化乡风文明行动。深化“爱国家、爱海南、爱定安、爱家园、爱家庭”为主题的卫生大健康行动。提倡艰苦奋斗、勤俭节约。倡导移风易俗，树立文明新风尚。健全志愿服务体系，广泛开展志愿服务关爱行动。加强网络文明建设，发展积极健康的网络文化。</w:t>
      </w:r>
    </w:p>
    <w:p>
      <w:pPr>
        <w:spacing w:line="560" w:lineRule="exact"/>
        <w:ind w:firstLine="642" w:firstLineChars="200"/>
        <w:rPr>
          <w:rFonts w:ascii="仿宋_GB2312" w:hAnsi="仿宋_GB2312" w:eastAsia="仿宋_GB2312" w:cs="宋体"/>
          <w:bCs/>
          <w:kern w:val="0"/>
          <w:sz w:val="32"/>
          <w:szCs w:val="32"/>
        </w:rPr>
      </w:pPr>
      <w:r>
        <w:rPr>
          <w:rFonts w:hint="eastAsia" w:ascii="仿宋_GB2312" w:hAnsi="仿宋_GB2312" w:eastAsia="仿宋_GB2312" w:cs="宋体"/>
          <w:b/>
          <w:kern w:val="0"/>
          <w:sz w:val="32"/>
          <w:szCs w:val="32"/>
        </w:rPr>
        <w:t>建立终身学习型社会。</w:t>
      </w:r>
      <w:r>
        <w:rPr>
          <w:rFonts w:hint="eastAsia" w:ascii="仿宋_GB2312" w:hAnsi="仿宋_GB2312" w:eastAsia="仿宋_GB2312" w:cs="宋体"/>
          <w:bCs/>
          <w:kern w:val="0"/>
          <w:sz w:val="32"/>
          <w:szCs w:val="32"/>
        </w:rPr>
        <w:t>创造氛围，构建服务全民终身学习的教育体系，建立“人人皆学、处处能学、时时可学”的学习型社会。大力推广全民阅读，重视青少年和儿童阅读，规范发展社会培训。完善职业教育、高等教育、继续教育统筹协调发展机制，畅通人才成长渠道。以“互联网+教育”为主搭建终身学习平台。</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381" w:name="_Toc30548"/>
      <w:bookmarkStart w:id="382" w:name="_Toc10636"/>
      <w:bookmarkStart w:id="383" w:name="_Toc146"/>
      <w:bookmarkStart w:id="384" w:name="_Toc14585"/>
      <w:bookmarkStart w:id="385" w:name="_Toc12096"/>
      <w:r>
        <w:rPr>
          <w:rFonts w:hint="eastAsia" w:ascii="楷体_GB2312" w:hAnsi="楷体" w:eastAsia="楷体_GB2312" w:cs="楷体"/>
          <w:bCs/>
          <w:sz w:val="32"/>
          <w:szCs w:val="32"/>
        </w:rPr>
        <w:t>第二节  提升公共文化服务水平</w:t>
      </w:r>
      <w:bookmarkEnd w:id="381"/>
      <w:bookmarkEnd w:id="382"/>
      <w:bookmarkEnd w:id="383"/>
      <w:bookmarkEnd w:id="384"/>
      <w:bookmarkEnd w:id="385"/>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加快公共文化服务设施建设。</w:t>
      </w:r>
      <w:r>
        <w:rPr>
          <w:rFonts w:hint="eastAsia" w:ascii="仿宋_GB2312" w:hAnsi="仿宋_GB2312" w:eastAsia="仿宋_GB2312" w:cs="宋体"/>
          <w:bCs/>
          <w:kern w:val="0"/>
          <w:sz w:val="32"/>
          <w:szCs w:val="32"/>
        </w:rPr>
        <w:t>进一步加大城乡公共文化服务体系建设投入力度，扩大公共文化设施建设规模，夯实公共文化服务体系基础，推动基层综合文化服务中心、大剧院、妇女儿童活动中心建设。</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促进公共文化服务均等化。</w:t>
      </w:r>
      <w:r>
        <w:rPr>
          <w:rFonts w:hint="eastAsia" w:ascii="仿宋_GB2312" w:hAnsi="仿宋_GB2312" w:eastAsia="仿宋_GB2312" w:cs="宋体"/>
          <w:bCs/>
          <w:kern w:val="0"/>
          <w:sz w:val="32"/>
          <w:szCs w:val="32"/>
        </w:rPr>
        <w:t>在现有公共文化设施建设的基础上，推动县图书馆、文化馆等数字化建设，创建乡镇文化馆分馆、图书馆分馆，配套完善县城社区公共文化综合服务中心，建立以县级馆为中心、乡镇文化站为辐射和村级文化阵地为延伸的公共文化服务网络。积极创新文化传播渠道，加快推进数字文化建设进程，提高公共数字文化供给和服务能力，促进城乡文化发展一体化，实现城乡资源整合和互联互通。加大对优秀传统文化传承人的培养和引进高端专业人才的力度。</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完善体育运动设施，促进全民健康。</w:t>
      </w:r>
      <w:r>
        <w:rPr>
          <w:rFonts w:hint="eastAsia" w:ascii="仿宋_GB2312" w:hAnsi="仿宋_GB2312" w:eastAsia="仿宋_GB2312" w:cs="宋体"/>
          <w:bCs/>
          <w:kern w:val="0"/>
          <w:sz w:val="32"/>
          <w:szCs w:val="32"/>
        </w:rPr>
        <w:t>加强城市绿道、健身步道、自行车道、全民健身中心、体育健身公园、社区文体广场等场地设施建设，制定并实施全民健身计划，普及科学健身知识和健身方法，因时因地因需开展全民健身活动。制定实施青少年、妇女、老年人、农民、职业人群、残疾人等群体的体质健康干预计划。将促进青少年提高身体素养和养成健康生活方式作为学校体育教育的重要内容。</w:t>
      </w:r>
      <w:r>
        <w:rPr>
          <w:rFonts w:ascii="仿宋_GB2312" w:hAnsi="仿宋_GB2312" w:eastAsia="仿宋_GB2312" w:cs="宋体"/>
          <w:bCs/>
          <w:kern w:val="0"/>
          <w:sz w:val="32"/>
          <w:szCs w:val="32"/>
        </w:rPr>
        <w:t>推广普及排球运动，振兴定安排球。促进足球运动持续健康发展，加强足球场地建设</w:t>
      </w:r>
      <w:r>
        <w:rPr>
          <w:rFonts w:hint="eastAsia" w:ascii="仿宋_GB2312" w:hAnsi="仿宋_GB2312" w:eastAsia="仿宋_GB2312" w:cs="宋体"/>
          <w:bCs/>
          <w:kern w:val="0"/>
          <w:sz w:val="32"/>
          <w:szCs w:val="32"/>
        </w:rPr>
        <w:t>。</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加强史志文化工作。</w:t>
      </w:r>
      <w:r>
        <w:rPr>
          <w:rFonts w:hint="eastAsia" w:ascii="仿宋_GB2312" w:hAnsi="仿宋_GB2312" w:eastAsia="仿宋_GB2312" w:cs="宋体"/>
          <w:bCs/>
          <w:kern w:val="0"/>
          <w:sz w:val="32"/>
          <w:szCs w:val="32"/>
        </w:rPr>
        <w:t>建设定安史志馆，加大对定安县史志文化的宣传力度。继续推进对定安古色和红色文化的研究，扎实推进《中国共产党定安历史》第三卷（1978—2002）、《定安县志（2011—2020）》、《定安县扶贫·小康志（1988—2020）》的编写，组织开展名镇志、名村志的编纂，用党史研究成果积极开展爱国主义和革命传统宣传教育活动。</w:t>
      </w:r>
    </w:p>
    <w:p>
      <w:pPr>
        <w:spacing w:line="560" w:lineRule="exact"/>
        <w:ind w:firstLine="642" w:firstLineChars="200"/>
        <w:jc w:val="left"/>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丰富城乡群众文化生活。</w:t>
      </w:r>
      <w:r>
        <w:rPr>
          <w:rFonts w:hint="eastAsia" w:ascii="仿宋_GB2312" w:hAnsi="仿宋_GB2312" w:eastAsia="仿宋_GB2312" w:cs="宋体"/>
          <w:bCs/>
          <w:kern w:val="0"/>
          <w:sz w:val="32"/>
          <w:szCs w:val="32"/>
        </w:rPr>
        <w:t>坚持以满足人民群众对美好生活的向往为引领，精心组织开展各类文化活动。加强政府购买文化服务力度，扎实开展文化惠民系列演出，让群众真正享受到文化精神食粮。深入开展文化共建、文化共享活动，形成送文化下乡、进社区的长效机制。培养琼剧专业人才，发展10个镇琼剧同乐会。</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加强文物资源和非物质文化遗产资源保护。</w:t>
      </w:r>
      <w:r>
        <w:rPr>
          <w:rFonts w:hint="eastAsia" w:ascii="仿宋_GB2312" w:hAnsi="仿宋_GB2312" w:eastAsia="仿宋_GB2312" w:cs="宋体"/>
          <w:bCs/>
          <w:kern w:val="0"/>
          <w:sz w:val="32"/>
          <w:szCs w:val="32"/>
        </w:rPr>
        <w:t>加强古遗址、古建筑、近现代重要史迹、代表性建筑等文物的抢修和保护工作，推进定安古城修缮，做好革命文物保护利用工程，合理开展物质文化遗产资源价值发掘，严格落实建筑施工文物保护措施。推进文物普查，完善文物资料库，建立定安文物资源信息库。加强琼剧、“二十三年红旗不倒”红色文化等非物质文化资源保护和传承。鼓励定安琼剧“走出去”，力争参与到“一带一路”国际性文艺演出。</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加强本土文化弘扬。</w:t>
      </w:r>
      <w:r>
        <w:rPr>
          <w:rFonts w:hint="eastAsia" w:ascii="仿宋_GB2312" w:hAnsi="仿宋_GB2312" w:eastAsia="仿宋_GB2312" w:cs="宋体"/>
          <w:bCs/>
          <w:kern w:val="0"/>
          <w:sz w:val="32"/>
          <w:szCs w:val="32"/>
        </w:rPr>
        <w:t>推动军坡节民俗文化、红色文化、琼剧文化、仙沟美食文化、田园文化等本土特色文化创造性转化、创新性发挥，开发歌舞、话剧、杂技、特色工艺品等创意文化产品，彰显独特文化魅力。</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386" w:name="_Toc16889"/>
      <w:bookmarkStart w:id="387" w:name="_Toc30944"/>
      <w:bookmarkStart w:id="388" w:name="_Toc17025"/>
      <w:bookmarkStart w:id="389" w:name="_Toc16126"/>
      <w:bookmarkStart w:id="390" w:name="_Toc16139"/>
      <w:r>
        <w:rPr>
          <w:rFonts w:hint="eastAsia" w:ascii="楷体_GB2312" w:hAnsi="楷体" w:eastAsia="楷体_GB2312" w:cs="楷体"/>
          <w:bCs/>
          <w:sz w:val="32"/>
          <w:szCs w:val="32"/>
        </w:rPr>
        <w:t>第三节  做强特色文化产业</w:t>
      </w:r>
      <w:bookmarkEnd w:id="386"/>
      <w:bookmarkEnd w:id="387"/>
      <w:bookmarkEnd w:id="388"/>
      <w:bookmarkEnd w:id="389"/>
      <w:bookmarkEnd w:id="390"/>
    </w:p>
    <w:p>
      <w:pPr>
        <w:spacing w:line="560" w:lineRule="exact"/>
        <w:ind w:firstLine="642" w:firstLineChars="200"/>
        <w:rPr>
          <w:rFonts w:ascii="仿宋_GB2312" w:hAnsi="仿宋_GB2312" w:eastAsia="仿宋_GB2312" w:cs="宋体"/>
          <w:bCs/>
          <w:kern w:val="0"/>
          <w:sz w:val="32"/>
          <w:szCs w:val="32"/>
        </w:rPr>
      </w:pPr>
      <w:r>
        <w:rPr>
          <w:rFonts w:ascii="仿宋_GB2312" w:hAnsi="仿宋_GB2312" w:eastAsia="仿宋_GB2312" w:cs="宋体"/>
          <w:b/>
          <w:kern w:val="0"/>
          <w:sz w:val="32"/>
          <w:szCs w:val="32"/>
        </w:rPr>
        <w:t>繁荣文化</w:t>
      </w:r>
      <w:r>
        <w:rPr>
          <w:rFonts w:hint="eastAsia" w:ascii="仿宋_GB2312" w:hAnsi="仿宋_GB2312" w:eastAsia="仿宋_GB2312" w:cs="宋体"/>
          <w:b/>
          <w:kern w:val="0"/>
          <w:sz w:val="32"/>
          <w:szCs w:val="32"/>
        </w:rPr>
        <w:t>体育</w:t>
      </w:r>
      <w:r>
        <w:rPr>
          <w:rFonts w:ascii="仿宋_GB2312" w:hAnsi="仿宋_GB2312" w:eastAsia="仿宋_GB2312" w:cs="宋体"/>
          <w:b/>
          <w:kern w:val="0"/>
          <w:sz w:val="32"/>
          <w:szCs w:val="32"/>
        </w:rPr>
        <w:t>事业</w:t>
      </w:r>
      <w:r>
        <w:rPr>
          <w:rFonts w:ascii="仿宋_GB2312" w:hAnsi="仿宋_GB2312" w:eastAsia="仿宋_GB2312" w:cs="宋体"/>
          <w:bCs/>
          <w:kern w:val="0"/>
          <w:sz w:val="32"/>
          <w:szCs w:val="32"/>
        </w:rPr>
        <w:t>。坚持“文化立县”，加强文物资源和非物质文化遗产资源保护。加强“探花故里，琼剧之乡”品牌打造，弘扬红色文化，做强美食文化，深挖乡土田园文化，塑造“文化定安”新印象、新形象。完善县、镇、村三级公共文化服务体系，促进基本公共文化服务均等化。加强体育基础设施建设，建设一批重点综合文化场馆，全面推进全民健身行动。加快发展竞技体育和体育产业。</w:t>
      </w:r>
    </w:p>
    <w:p>
      <w:pPr>
        <w:spacing w:line="560" w:lineRule="exact"/>
        <w:ind w:firstLine="642" w:firstLineChars="200"/>
        <w:rPr>
          <w:rFonts w:ascii="仿宋_GB2312" w:hAnsi="仿宋_GB2312" w:eastAsia="仿宋_GB2312" w:cs="宋体"/>
          <w:bCs/>
          <w:kern w:val="0"/>
          <w:sz w:val="32"/>
          <w:szCs w:val="32"/>
        </w:rPr>
      </w:pPr>
      <w:r>
        <w:rPr>
          <w:rFonts w:ascii="仿宋_GB2312" w:hAnsi="仿宋_GB2312" w:eastAsia="仿宋_GB2312" w:cs="宋体"/>
          <w:b/>
          <w:kern w:val="0"/>
          <w:sz w:val="32"/>
          <w:szCs w:val="32"/>
        </w:rPr>
        <w:t>构建文旅融合产业体系。</w:t>
      </w:r>
      <w:r>
        <w:rPr>
          <w:rFonts w:ascii="仿宋_GB2312" w:hAnsi="仿宋_GB2312" w:eastAsia="仿宋_GB2312" w:cs="宋体"/>
          <w:bCs/>
          <w:kern w:val="0"/>
          <w:sz w:val="32"/>
          <w:szCs w:val="32"/>
        </w:rPr>
        <w:t>坚持把社会效益放在首位、社会效益和经济效益相统一,深化文化体制改革,扩大优质文化产品供给，构建完善的文化市场体系和产业体系。深入挖掘特色文化资源，推动本土特色文化创造性转化、创新性发挥，开发创意文化产品，彰显独特文化魅力。推进文旅、文创、文体等产业创新发展,提升文化市场管理水平。</w:t>
      </w: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hAnsi="仿宋_GB2312" w:eastAsia="仿宋_GB2312" w:cs="楷体"/>
                <w:sz w:val="24"/>
              </w:rPr>
            </w:pPr>
            <w:r>
              <w:rPr>
                <w:rFonts w:hint="eastAsia" w:ascii="仿宋_GB2312" w:hAnsi="仿宋_GB2312" w:eastAsia="仿宋_GB2312" w:cs="楷体"/>
                <w:sz w:val="24"/>
              </w:rPr>
              <w:t>专栏13：文化体育事业重点工程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numPr>
                <w:ilvl w:val="0"/>
                <w:numId w:val="13"/>
              </w:numPr>
              <w:rPr>
                <w:rFonts w:hint="eastAsia" w:ascii="仿宋_GB2312" w:eastAsia="仿宋_GB2312"/>
                <w:sz w:val="24"/>
              </w:rPr>
            </w:pPr>
            <w:r>
              <w:rPr>
                <w:rFonts w:hint="eastAsia" w:ascii="仿宋_GB2312" w:eastAsia="仿宋_GB2312"/>
                <w:sz w:val="24"/>
              </w:rPr>
              <w:t>儿童公园项目</w:t>
            </w:r>
          </w:p>
          <w:p>
            <w:pPr>
              <w:pStyle w:val="12"/>
              <w:numPr>
                <w:ilvl w:val="0"/>
                <w:numId w:val="13"/>
              </w:numPr>
              <w:rPr>
                <w:rFonts w:hint="eastAsia" w:ascii="仿宋_GB2312" w:eastAsia="仿宋_GB2312"/>
                <w:color w:val="auto"/>
              </w:rPr>
            </w:pPr>
            <w:r>
              <w:rPr>
                <w:rFonts w:hint="eastAsia" w:ascii="仿宋_GB2312" w:hAnsi="Times New Roman" w:eastAsia="仿宋_GB2312"/>
                <w:color w:val="auto"/>
                <w:kern w:val="2"/>
              </w:rPr>
              <w:t>体育馆、图书馆、博物馆及全民健身中心“三馆一中心”建设项目</w:t>
            </w:r>
          </w:p>
          <w:p>
            <w:pPr>
              <w:pStyle w:val="12"/>
              <w:numPr>
                <w:ilvl w:val="0"/>
                <w:numId w:val="13"/>
              </w:numPr>
              <w:rPr>
                <w:rFonts w:hint="eastAsia" w:ascii="仿宋_GB2312" w:eastAsia="仿宋_GB2312"/>
                <w:color w:val="auto"/>
              </w:rPr>
            </w:pPr>
            <w:r>
              <w:rPr>
                <w:rFonts w:hint="eastAsia" w:ascii="仿宋_GB2312" w:hAnsi="Times New Roman" w:eastAsia="仿宋_GB2312"/>
                <w:color w:val="auto"/>
                <w:kern w:val="2"/>
              </w:rPr>
              <w:t>母瑞山烈士陵园提质改造工程</w:t>
            </w:r>
          </w:p>
          <w:p>
            <w:pPr>
              <w:pStyle w:val="12"/>
              <w:numPr>
                <w:ilvl w:val="0"/>
                <w:numId w:val="13"/>
              </w:numPr>
              <w:rPr>
                <w:rFonts w:hint="eastAsia" w:ascii="仿宋_GB2312" w:eastAsia="仿宋_GB2312"/>
                <w:color w:val="auto"/>
              </w:rPr>
            </w:pPr>
            <w:r>
              <w:rPr>
                <w:rFonts w:hint="eastAsia" w:ascii="仿宋_GB2312" w:eastAsia="仿宋_GB2312"/>
                <w:color w:val="auto"/>
              </w:rPr>
              <w:t>王弘诲墓历史文化保护项目</w:t>
            </w:r>
          </w:p>
          <w:p>
            <w:pPr>
              <w:pStyle w:val="12"/>
              <w:numPr>
                <w:ilvl w:val="0"/>
                <w:numId w:val="13"/>
              </w:numPr>
              <w:rPr>
                <w:rFonts w:hint="eastAsia" w:ascii="仿宋_GB2312" w:eastAsia="仿宋_GB2312"/>
                <w:color w:val="auto"/>
              </w:rPr>
            </w:pPr>
            <w:r>
              <w:rPr>
                <w:rFonts w:hint="eastAsia" w:ascii="仿宋_GB2312" w:eastAsia="仿宋_GB2312"/>
                <w:color w:val="auto"/>
              </w:rPr>
              <w:t>海南出版社迁建项目</w:t>
            </w:r>
          </w:p>
          <w:p>
            <w:pPr>
              <w:pStyle w:val="12"/>
              <w:numPr>
                <w:ilvl w:val="0"/>
                <w:numId w:val="13"/>
              </w:numPr>
              <w:rPr>
                <w:rFonts w:hint="eastAsia" w:ascii="仿宋_GB2312" w:eastAsia="仿宋_GB2312"/>
                <w:color w:val="auto"/>
              </w:rPr>
            </w:pPr>
            <w:r>
              <w:rPr>
                <w:rFonts w:hint="eastAsia" w:ascii="仿宋_GB2312" w:eastAsia="仿宋_GB2312"/>
                <w:color w:val="auto"/>
              </w:rPr>
              <w:t>海南出版产业物流服务与文创中心项目</w:t>
            </w:r>
          </w:p>
          <w:p>
            <w:pPr>
              <w:pStyle w:val="12"/>
              <w:numPr>
                <w:ilvl w:val="0"/>
                <w:numId w:val="13"/>
              </w:numPr>
              <w:rPr>
                <w:rFonts w:hint="eastAsia" w:ascii="仿宋_GB2312" w:eastAsia="仿宋_GB2312"/>
                <w:color w:val="auto"/>
              </w:rPr>
            </w:pPr>
            <w:r>
              <w:rPr>
                <w:rFonts w:hint="eastAsia" w:ascii="仿宋_GB2312" w:eastAsia="仿宋_GB2312"/>
                <w:color w:val="auto"/>
              </w:rPr>
              <w:t>侨胞文化馆</w:t>
            </w:r>
          </w:p>
          <w:p>
            <w:pPr>
              <w:pStyle w:val="12"/>
              <w:numPr>
                <w:ilvl w:val="0"/>
                <w:numId w:val="13"/>
              </w:numPr>
              <w:rPr>
                <w:rFonts w:hint="eastAsia" w:ascii="仿宋_GB2312" w:eastAsia="仿宋_GB2312"/>
                <w:color w:val="auto"/>
              </w:rPr>
            </w:pPr>
            <w:r>
              <w:rPr>
                <w:rFonts w:hint="eastAsia" w:ascii="仿宋_GB2312" w:eastAsia="仿宋_GB2312"/>
                <w:color w:val="auto"/>
              </w:rPr>
              <w:t>定安县丹桂公园和兴安公园亮化工程</w:t>
            </w:r>
          </w:p>
          <w:p>
            <w:pPr>
              <w:pStyle w:val="12"/>
              <w:numPr>
                <w:ilvl w:val="0"/>
                <w:numId w:val="13"/>
              </w:numPr>
              <w:rPr>
                <w:rFonts w:hint="eastAsia" w:ascii="仿宋_GB2312" w:eastAsia="仿宋_GB2312"/>
                <w:color w:val="auto"/>
              </w:rPr>
            </w:pPr>
            <w:r>
              <w:rPr>
                <w:rFonts w:hint="eastAsia" w:ascii="仿宋_GB2312" w:hAnsi="Times New Roman" w:eastAsia="仿宋_GB2312"/>
                <w:color w:val="auto"/>
                <w:kern w:val="2"/>
              </w:rPr>
              <w:t>定安县潭榄溪两岸带状公园景观工程（二期）</w:t>
            </w:r>
          </w:p>
        </w:tc>
      </w:tr>
    </w:tbl>
    <w:p>
      <w:pPr>
        <w:pStyle w:val="12"/>
        <w:spacing w:before="239" w:beforeLines="50" w:after="239" w:afterLines="50" w:line="560" w:lineRule="exact"/>
        <w:jc w:val="center"/>
        <w:outlineLvl w:val="0"/>
        <w:rPr>
          <w:rFonts w:hint="eastAsia" w:ascii="黑体" w:hAnsi="黑体" w:eastAsia="黑体"/>
          <w:bCs/>
          <w:color w:val="auto"/>
          <w:sz w:val="32"/>
          <w:szCs w:val="32"/>
        </w:rPr>
      </w:pPr>
      <w:bookmarkStart w:id="391" w:name="_Toc3588"/>
      <w:bookmarkStart w:id="392" w:name="_Toc27647"/>
      <w:bookmarkStart w:id="393" w:name="_Toc26700"/>
      <w:bookmarkStart w:id="394" w:name="_Toc18337"/>
      <w:bookmarkStart w:id="395" w:name="_Toc7000"/>
      <w:bookmarkStart w:id="396" w:name="_Toc23440"/>
      <w:bookmarkStart w:id="397" w:name="_Toc13871"/>
      <w:bookmarkStart w:id="398" w:name="_Toc3989"/>
      <w:bookmarkStart w:id="399" w:name="_Toc563"/>
      <w:bookmarkStart w:id="400" w:name="_Toc54189164"/>
      <w:bookmarkStart w:id="401" w:name="_Toc54189208"/>
      <w:bookmarkStart w:id="402" w:name="_Toc22371"/>
      <w:bookmarkStart w:id="403" w:name="_Toc20920"/>
    </w:p>
    <w:p>
      <w:pPr>
        <w:pStyle w:val="12"/>
        <w:spacing w:before="239" w:beforeLines="50" w:after="239" w:afterLines="50" w:line="560" w:lineRule="exact"/>
        <w:ind w:left="0" w:leftChars="0" w:firstLine="0" w:firstLineChars="0"/>
        <w:jc w:val="center"/>
        <w:outlineLvl w:val="0"/>
        <w:rPr>
          <w:rFonts w:hint="eastAsia" w:ascii="黑体" w:hAnsi="黑体" w:eastAsia="黑体"/>
          <w:bCs/>
          <w:color w:val="auto"/>
          <w:sz w:val="32"/>
          <w:szCs w:val="32"/>
        </w:rPr>
      </w:pPr>
      <w:r>
        <w:rPr>
          <w:rFonts w:hint="eastAsia" w:ascii="黑体" w:hAnsi="黑体" w:eastAsia="黑体"/>
          <w:bCs/>
          <w:color w:val="auto"/>
          <w:sz w:val="32"/>
          <w:szCs w:val="32"/>
        </w:rPr>
        <w:t>第十章  加强生态文明建设，建设绿色定安</w:t>
      </w:r>
      <w:bookmarkEnd w:id="391"/>
      <w:bookmarkEnd w:id="392"/>
      <w:bookmarkEnd w:id="393"/>
      <w:bookmarkEnd w:id="394"/>
      <w:bookmarkEnd w:id="395"/>
      <w:bookmarkEnd w:id="396"/>
      <w:bookmarkEnd w:id="397"/>
      <w:bookmarkEnd w:id="398"/>
      <w:bookmarkEnd w:id="399"/>
      <w:bookmarkEnd w:id="400"/>
      <w:bookmarkEnd w:id="401"/>
      <w:bookmarkEnd w:id="402"/>
      <w:bookmarkEnd w:id="403"/>
    </w:p>
    <w:p>
      <w:pPr>
        <w:spacing w:line="560" w:lineRule="exact"/>
        <w:ind w:firstLine="641"/>
        <w:rPr>
          <w:rFonts w:hint="eastAsia" w:ascii="仿宋_GB2312" w:hAnsi="仿宋_GB2312" w:eastAsia="仿宋_GB2312" w:cs="楷体"/>
          <w:sz w:val="32"/>
          <w:szCs w:val="32"/>
        </w:rPr>
      </w:pPr>
      <w:bookmarkStart w:id="404" w:name="_Toc395"/>
      <w:bookmarkStart w:id="405" w:name="_Toc30175"/>
      <w:bookmarkStart w:id="406" w:name="_Toc54189209"/>
      <w:r>
        <w:rPr>
          <w:rFonts w:hint="eastAsia" w:ascii="仿宋_GB2312" w:hAnsi="仿宋_GB2312" w:eastAsia="仿宋_GB2312" w:cs="楷体"/>
          <w:sz w:val="32"/>
          <w:szCs w:val="32"/>
        </w:rPr>
        <w:t xml:space="preserve">积极践行习近平生态文明思想，牢固树立“绿水青山就是金山银山”的发展理念，坚持生态优先原则，确保生态环境只能更好、不能变差。  </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07" w:name="_Toc26750"/>
      <w:bookmarkStart w:id="408" w:name="_Toc3669"/>
      <w:bookmarkStart w:id="409" w:name="_Toc1830"/>
      <w:bookmarkStart w:id="410" w:name="_Toc11173"/>
      <w:bookmarkStart w:id="411" w:name="_Toc17158"/>
      <w:bookmarkStart w:id="412" w:name="_Toc32001"/>
      <w:r>
        <w:rPr>
          <w:rFonts w:hint="eastAsia" w:ascii="楷体_GB2312" w:hAnsi="楷体" w:eastAsia="楷体_GB2312" w:cs="楷体"/>
          <w:bCs/>
          <w:sz w:val="32"/>
          <w:szCs w:val="32"/>
        </w:rPr>
        <w:t xml:space="preserve">第一节  </w:t>
      </w:r>
      <w:bookmarkEnd w:id="404"/>
      <w:bookmarkEnd w:id="405"/>
      <w:bookmarkEnd w:id="406"/>
      <w:r>
        <w:rPr>
          <w:rFonts w:hint="eastAsia" w:ascii="楷体_GB2312" w:hAnsi="楷体" w:eastAsia="楷体_GB2312" w:cs="楷体"/>
          <w:bCs/>
          <w:sz w:val="32"/>
          <w:szCs w:val="32"/>
        </w:rPr>
        <w:t>统筹国土空间管理</w:t>
      </w:r>
      <w:bookmarkEnd w:id="407"/>
      <w:bookmarkEnd w:id="408"/>
      <w:bookmarkEnd w:id="409"/>
      <w:bookmarkEnd w:id="410"/>
      <w:bookmarkEnd w:id="411"/>
      <w:bookmarkEnd w:id="412"/>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严格落实生态保护红线。</w:t>
      </w:r>
      <w:r>
        <w:rPr>
          <w:rFonts w:hint="eastAsia" w:ascii="仿宋_GB2312" w:hAnsi="仿宋_GB2312" w:eastAsia="仿宋_GB2312" w:cs="楷体"/>
          <w:sz w:val="32"/>
          <w:szCs w:val="32"/>
        </w:rPr>
        <w:t>保护好定安县林地，使森林覆盖率稳定在</w:t>
      </w:r>
      <w:r>
        <w:rPr>
          <w:rFonts w:ascii="仿宋_GB2312" w:hAnsi="仿宋_GB2312" w:eastAsia="仿宋_GB2312" w:cs="楷体"/>
          <w:sz w:val="32"/>
          <w:szCs w:val="32"/>
        </w:rPr>
        <w:t>56</w:t>
      </w:r>
      <w:r>
        <w:rPr>
          <w:rFonts w:hint="eastAsia" w:ascii="仿宋_GB2312" w:hAnsi="仿宋_GB2312" w:eastAsia="仿宋_GB2312" w:cs="楷体"/>
          <w:sz w:val="32"/>
          <w:szCs w:val="32"/>
        </w:rPr>
        <w:t>%以上。严格实施有关保护措施，禁止不符合生态保护红线准入目录的开发项目进入红线区范围。强化森林生态系统保护，实施绿化宝岛生态修复行动，积极推动公益林，特别是天然林分布区内过熟的橡胶、桉树等老残林更新改造，通过人工造林、景观改造、补植等措施，恢复森林植被。开展沿路景观林造林，开展老残林更新行动和“四边两区”复绿行动。</w:t>
      </w:r>
    </w:p>
    <w:p>
      <w:pPr>
        <w:spacing w:line="560" w:lineRule="exact"/>
        <w:ind w:firstLine="642" w:firstLineChars="200"/>
        <w:rPr>
          <w:rFonts w:ascii="仿宋_GB2312" w:hAnsi="仿宋_GB2312" w:eastAsia="仿宋_GB2312" w:cs="楷体"/>
          <w:sz w:val="32"/>
          <w:szCs w:val="32"/>
        </w:rPr>
      </w:pPr>
      <w:r>
        <w:rPr>
          <w:rFonts w:hint="eastAsia" w:ascii="仿宋_GB2312" w:hAnsi="仿宋_GB2312" w:eastAsia="仿宋_GB2312" w:cs="楷体"/>
          <w:b/>
          <w:bCs/>
          <w:sz w:val="32"/>
          <w:szCs w:val="32"/>
        </w:rPr>
        <w:t>严格落实永久基本农田保护线。</w:t>
      </w:r>
      <w:r>
        <w:rPr>
          <w:rFonts w:hint="eastAsia" w:ascii="仿宋_GB2312" w:hAnsi="仿宋_GB2312" w:eastAsia="仿宋_GB2312" w:cs="楷体"/>
          <w:sz w:val="32"/>
          <w:szCs w:val="32"/>
        </w:rPr>
        <w:t>严格永久基本农田划定和用途管制，做到面积不减少、质量不下降、用途不改变，确保农业持续发展空间。以乡镇（农场）全部或部分村庄（连队）为基本实施单元，实施全域土地综合整治，打造农田集中连片，落实最严格的耕地保护制度，统筹高标准农田建设、耕地提质改造、农田基础设施建设、低效林草地和园地整治、污染土壤修复等农用地整理，提高耕地质量和连片度。打造集约高效的生产空间。加大撂荒地盘活力度。</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控制好建设用地开发边界。</w:t>
      </w:r>
      <w:r>
        <w:rPr>
          <w:rFonts w:hint="eastAsia" w:ascii="仿宋_GB2312" w:hAnsi="仿宋_GB2312" w:eastAsia="仿宋_GB2312" w:cs="楷体"/>
          <w:sz w:val="32"/>
          <w:szCs w:val="32"/>
        </w:rPr>
        <w:t>控制好建设用地开发边界，</w:t>
      </w:r>
      <w:r>
        <w:rPr>
          <w:rFonts w:hint="eastAsia" w:ascii="仿宋_GB2312" w:hAnsi="仿宋" w:eastAsia="仿宋_GB2312" w:cs="仿宋_GB2312"/>
          <w:sz w:val="32"/>
          <w:szCs w:val="32"/>
          <w:lang w:bidi="ar"/>
        </w:rPr>
        <w:t>除民生等项目外，产业项目建设运营原则布局在塔岭工业园和新竹绿色建筑产业基地，确需在海南省定安县总体规划确定的开发边界外建设的项目，应当严格执行开发边界外建设项目准入目录。</w:t>
      </w:r>
      <w:r>
        <w:rPr>
          <w:rFonts w:hint="eastAsia" w:ascii="仿宋_GB2312" w:hAnsi="仿宋_GB2312" w:eastAsia="仿宋_GB2312" w:cs="楷体"/>
          <w:sz w:val="32"/>
          <w:szCs w:val="32"/>
        </w:rPr>
        <w:t>有序开展农村宅基地（连队职工住宅地）、工矿废弃地、闲置土地、违法用地以及其他存量建设用地整理复垦，在保护好历史文化名村、传统村落、传统建筑、街巷空间等前提下，优化农村（连队）建设用地布局，统筹农民（连队职工）住宅建设、产业发展、公共服务、基础设施等各类建设用地。</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13" w:name="_Toc54189210"/>
      <w:bookmarkStart w:id="414" w:name="_Toc24195"/>
      <w:bookmarkStart w:id="415" w:name="_Toc31841"/>
      <w:bookmarkStart w:id="416" w:name="_Toc21374"/>
      <w:bookmarkStart w:id="417" w:name="_Toc23773"/>
      <w:bookmarkStart w:id="418" w:name="_Toc6386"/>
      <w:bookmarkStart w:id="419" w:name="_Toc8945"/>
      <w:bookmarkStart w:id="420" w:name="_Toc28948"/>
      <w:bookmarkStart w:id="421" w:name="_Toc17973"/>
      <w:r>
        <w:rPr>
          <w:rFonts w:hint="eastAsia" w:ascii="楷体_GB2312" w:hAnsi="楷体" w:eastAsia="楷体_GB2312" w:cs="楷体"/>
          <w:bCs/>
          <w:sz w:val="32"/>
          <w:szCs w:val="32"/>
        </w:rPr>
        <w:t>第二节  推进污染防治攻坚</w:t>
      </w:r>
      <w:bookmarkEnd w:id="413"/>
      <w:bookmarkEnd w:id="414"/>
      <w:bookmarkEnd w:id="415"/>
      <w:bookmarkEnd w:id="416"/>
      <w:bookmarkEnd w:id="417"/>
      <w:bookmarkEnd w:id="418"/>
      <w:bookmarkEnd w:id="419"/>
      <w:bookmarkEnd w:id="420"/>
      <w:bookmarkEnd w:id="421"/>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水环境保护与污染综合治理。继续严格饮用水源保护。</w:t>
      </w:r>
      <w:r>
        <w:rPr>
          <w:rFonts w:hint="eastAsia" w:ascii="仿宋_GB2312" w:hAnsi="仿宋_GB2312" w:eastAsia="仿宋_GB2312" w:cs="楷体"/>
          <w:sz w:val="32"/>
          <w:szCs w:val="32"/>
        </w:rPr>
        <w:t>坚决执行《海南省定安县总体规划（空间类2015-2030）》有关要求，严格控制生态保护红线区内的开发建设活动。对饮用水实施标准化建设，积极推进“划、立、治”三点任务，加强集中式饮用水水源保护区规范化建设，继续推进“万人千吨”饮用水水源地保护区环境整治工作。编制饮用水水源突发环境事件应急预案，建立应急处理指挥机构，加强应急需要的物资储备，开展应急演练等，有应对突发事件的技术保障措施，确保饮用水安全；</w:t>
      </w:r>
      <w:r>
        <w:rPr>
          <w:rFonts w:hint="eastAsia" w:ascii="仿宋_GB2312" w:hAnsi="仿宋_GB2312" w:eastAsia="仿宋_GB2312" w:cs="楷体"/>
          <w:b/>
          <w:bCs/>
          <w:sz w:val="32"/>
          <w:szCs w:val="32"/>
        </w:rPr>
        <w:t>全面排查沿河污染源。</w:t>
      </w:r>
      <w:r>
        <w:rPr>
          <w:rFonts w:hint="eastAsia" w:ascii="仿宋_GB2312" w:hAnsi="仿宋_GB2312" w:eastAsia="仿宋_GB2312" w:cs="楷体"/>
          <w:sz w:val="32"/>
          <w:szCs w:val="32"/>
        </w:rPr>
        <w:t>对现有的没有达到管控目标的河流进行排查，以流域内水环境突出问题为导向，重点排查龙州河（新吴溪）、巡崖河沿河污染源及其源强，全面梳理生活源、农业源、工业源和河道采砂影响，摸清每个流域的污染源、污染范围和污染主体。</w:t>
      </w:r>
      <w:r>
        <w:rPr>
          <w:rFonts w:hint="eastAsia" w:ascii="仿宋_GB2312" w:hAnsi="仿宋_GB2312" w:eastAsia="仿宋_GB2312" w:cs="楷体"/>
          <w:b/>
          <w:bCs/>
          <w:sz w:val="32"/>
          <w:szCs w:val="32"/>
        </w:rPr>
        <w:t>制定水生态文明规划。</w:t>
      </w:r>
      <w:r>
        <w:rPr>
          <w:rFonts w:hint="eastAsia" w:ascii="仿宋_GB2312" w:hAnsi="仿宋_GB2312" w:eastAsia="仿宋_GB2312" w:cs="楷体"/>
          <w:sz w:val="32"/>
          <w:szCs w:val="32"/>
        </w:rPr>
        <w:t>一是优化水资源的合理配置。科学划定水功能区，合理配置生态、生产、生活用水，既要遵循自然规律，也要考虑当地的经济社会发展需求。二是构建健康优美的水生态系统。结合定安特征，以“山-河-湖-城”为纽带，通过湿地恢复和保护、河道自然形态保护、自然和生态护坡建设、水土流失综合治理等多种措施，系统打造三维立体的水生态保护与修复体系。</w:t>
      </w:r>
      <w:r>
        <w:rPr>
          <w:rFonts w:hint="eastAsia" w:ascii="仿宋_GB2312" w:hAnsi="仿宋_GB2312" w:eastAsia="仿宋_GB2312" w:cs="楷体"/>
          <w:b/>
          <w:bCs/>
          <w:sz w:val="32"/>
          <w:szCs w:val="32"/>
        </w:rPr>
        <w:t>突出污染水体治理。</w:t>
      </w:r>
      <w:r>
        <w:rPr>
          <w:rFonts w:hint="eastAsia" w:ascii="仿宋_GB2312" w:hAnsi="仿宋_GB2312" w:eastAsia="仿宋_GB2312" w:cs="楷体"/>
          <w:sz w:val="32"/>
          <w:szCs w:val="32"/>
        </w:rPr>
        <w:t>实施定安县域内龙州河段、巡崖河和温村水城镇内河（湖）污染治理，落实各项整治任务，加强不达标农村饮用水水源地整治，确保龙州河和巡崖河等流域内水质2023年底达到考核目标，温村水全面消除黑臭水体。</w:t>
      </w:r>
      <w:r>
        <w:rPr>
          <w:rFonts w:hint="eastAsia" w:ascii="仿宋_GB2312" w:hAnsi="仿宋_GB2312" w:eastAsia="仿宋_GB2312" w:cs="楷体"/>
          <w:b/>
          <w:bCs/>
          <w:sz w:val="32"/>
          <w:szCs w:val="32"/>
        </w:rPr>
        <w:t>加强污水治理和基础设施建设。</w:t>
      </w:r>
      <w:r>
        <w:rPr>
          <w:rFonts w:hint="eastAsia" w:ascii="仿宋_GB2312" w:hAnsi="仿宋_GB2312" w:eastAsia="仿宋_GB2312" w:cs="楷体"/>
          <w:sz w:val="32"/>
          <w:szCs w:val="32"/>
        </w:rPr>
        <w:t>加强定城及各镇墟污水治理及基础设施建设，推进龙湖镇、翰林镇、龙门镇、黄竹镇、母瑞山、金鸡岭居、新竹镇、龙河镇、岭口镇、富文镇、雷鸣镇、定城污水处理厂二期等12个污水处理及配套管网工程，</w:t>
      </w:r>
      <w:r>
        <w:rPr>
          <w:rFonts w:hint="eastAsia" w:ascii="仿宋_GB2312" w:hAnsi="仿宋" w:eastAsia="仿宋_GB2312" w:cs="Calibri"/>
          <w:sz w:val="32"/>
          <w:szCs w:val="32"/>
        </w:rPr>
        <w:t>新建城镇污水处理设施执行一级A排放标准。全面推进污泥处置设施建设，禁止未达农用污泥标准的污泥进入耕地，非法污泥堆放点一律予以取缔，加快推进城镇污水老旧或破损管网更新改造</w:t>
      </w:r>
      <w:r>
        <w:rPr>
          <w:rFonts w:hint="eastAsia" w:ascii="仿宋_GB2312" w:hAnsi="仿宋_GB2312" w:eastAsia="仿宋_GB2312" w:cs="楷体"/>
          <w:sz w:val="32"/>
          <w:szCs w:val="32"/>
        </w:rPr>
        <w:t>；加快农村污水处理设施建设，</w:t>
      </w:r>
      <w:r>
        <w:rPr>
          <w:rFonts w:hint="eastAsia" w:ascii="仿宋_GB2312" w:hAnsi="仿宋" w:eastAsia="仿宋_GB2312" w:cs="Calibri"/>
          <w:sz w:val="32"/>
          <w:szCs w:val="32"/>
        </w:rPr>
        <w:t>建成基本覆盖全县10个建制镇的108个行政村3个农场的污水处理体系，龙州河、巡崖河和温村水等流域内，饮用水水源保护区等涉及到的自然村具备生活污水收集处理能力，尾水尽量资源化利用；完善园区污水配套管网建设，加强企业挥发性有机物排放监督管理。制定污水排放标准、违规排放惩罚机制。</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大气环境巩固和提升。</w:t>
      </w:r>
      <w:r>
        <w:rPr>
          <w:rFonts w:hint="eastAsia" w:ascii="仿宋_GB2312" w:hAnsi="仿宋" w:eastAsia="仿宋_GB2312" w:cs="仿宋"/>
          <w:sz w:val="32"/>
          <w:szCs w:val="32"/>
        </w:rPr>
        <w:t>加强汽车维修行业监管，对汽车维护行业喷漆房进行排查，推动挥发性有机物废气治理，全面取缔露天和敞开式汽修喷涂作业；</w:t>
      </w:r>
      <w:r>
        <w:rPr>
          <w:rFonts w:hint="eastAsia" w:ascii="仿宋_GB2312" w:hAnsi="仿宋_GB2312" w:eastAsia="仿宋_GB2312" w:cs="楷体"/>
          <w:sz w:val="32"/>
          <w:szCs w:val="32"/>
        </w:rPr>
        <w:t>开展燃放烟花爆竹管控，从源头上实施管控，规范烟花爆竹销售网点管理，加大管理和违规燃放处罚力度；优化高污染燃料禁燃区；持续打击槟榔传统熏烤土炉</w:t>
      </w:r>
      <w:r>
        <w:rPr>
          <w:rFonts w:ascii="仿宋_GB2312" w:hAnsi="仿宋_GB2312" w:eastAsia="仿宋_GB2312" w:cs="楷体"/>
          <w:sz w:val="32"/>
          <w:szCs w:val="32"/>
        </w:rPr>
        <w:t>加工</w:t>
      </w:r>
      <w:r>
        <w:rPr>
          <w:rFonts w:hint="eastAsia" w:ascii="仿宋_GB2312" w:hAnsi="仿宋_GB2312" w:eastAsia="仿宋_GB2312" w:cs="楷体"/>
          <w:sz w:val="32"/>
          <w:szCs w:val="32"/>
        </w:rPr>
        <w:t>行为，</w:t>
      </w:r>
      <w:r>
        <w:rPr>
          <w:rFonts w:ascii="仿宋_GB2312" w:hAnsi="仿宋_GB2312" w:eastAsia="仿宋_GB2312" w:cs="楷体"/>
          <w:sz w:val="32"/>
          <w:szCs w:val="32"/>
        </w:rPr>
        <w:t>全面取缔土法槟榔加工</w:t>
      </w:r>
      <w:r>
        <w:rPr>
          <w:rFonts w:hint="eastAsia" w:ascii="仿宋_GB2312" w:hAnsi="仿宋_GB2312" w:eastAsia="仿宋_GB2312" w:cs="楷体"/>
          <w:sz w:val="32"/>
          <w:szCs w:val="32"/>
        </w:rPr>
        <w:t>；开展老旧车淘汰和污染治理工作，加强非道路移动机械环境监管；</w:t>
      </w:r>
      <w:r>
        <w:rPr>
          <w:rFonts w:ascii="仿宋_GB2312" w:hAnsi="仿宋_GB2312" w:eastAsia="仿宋_GB2312" w:cs="楷体"/>
          <w:sz w:val="32"/>
          <w:szCs w:val="32"/>
        </w:rPr>
        <w:t>全面禁止秸秆、垃圾等露天焚烧</w:t>
      </w:r>
      <w:r>
        <w:rPr>
          <w:rFonts w:hint="eastAsia" w:ascii="仿宋_GB2312" w:hAnsi="仿宋_GB2312" w:eastAsia="仿宋_GB2312" w:cs="楷体"/>
          <w:sz w:val="32"/>
          <w:szCs w:val="32"/>
        </w:rPr>
        <w:t>，推进秸秆肥料化、饲料化、基料化、原料化、能源化等综合利用，</w:t>
      </w:r>
      <w:r>
        <w:rPr>
          <w:rFonts w:hint="eastAsia" w:ascii="仿宋_GB2312" w:hAnsi="仿宋" w:eastAsia="仿宋_GB2312" w:cs="仿宋"/>
          <w:sz w:val="32"/>
          <w:szCs w:val="32"/>
        </w:rPr>
        <w:t>规划期末全县秸秆综合利用率达到90%以上</w:t>
      </w:r>
      <w:r>
        <w:rPr>
          <w:rFonts w:hint="eastAsia" w:ascii="仿宋_GB2312" w:hAnsi="仿宋_GB2312" w:eastAsia="仿宋_GB2312" w:cs="楷体"/>
          <w:sz w:val="32"/>
          <w:szCs w:val="32"/>
        </w:rPr>
        <w:t>；精细化管控施工扬尘，</w:t>
      </w:r>
      <w:r>
        <w:rPr>
          <w:rFonts w:hint="eastAsia" w:ascii="仿宋_GB2312" w:hAnsi="仿宋" w:eastAsia="仿宋_GB2312" w:cs="仿宋"/>
          <w:sz w:val="32"/>
          <w:szCs w:val="32"/>
        </w:rPr>
        <w:t>建立施工工地扬尘防治管理清单，</w:t>
      </w:r>
      <w:r>
        <w:rPr>
          <w:rFonts w:hint="eastAsia" w:ascii="仿宋_GB2312" w:hAnsi="仿宋_GB2312" w:eastAsia="仿宋_GB2312" w:cs="楷体"/>
          <w:sz w:val="32"/>
          <w:szCs w:val="32"/>
        </w:rPr>
        <w:t>规范化管理建筑工地。全面深化道路扬尘防控，提高道路冲洗、洒水、清扫频次，在重要市政道路推广道路机械化高压冲洗，</w:t>
      </w:r>
      <w:r>
        <w:rPr>
          <w:rFonts w:hint="eastAsia" w:ascii="仿宋_GB2312" w:hAnsi="仿宋" w:eastAsia="仿宋_GB2312"/>
          <w:sz w:val="32"/>
          <w:szCs w:val="32"/>
        </w:rPr>
        <w:t>建成区道路雾喷率和机扫率达90%以上</w:t>
      </w:r>
      <w:r>
        <w:rPr>
          <w:rFonts w:hint="eastAsia" w:ascii="仿宋_GB2312" w:hAnsi="仿宋_GB2312" w:eastAsia="仿宋_GB2312" w:cs="楷体"/>
          <w:sz w:val="32"/>
          <w:szCs w:val="32"/>
        </w:rPr>
        <w:t>；</w:t>
      </w:r>
      <w:r>
        <w:rPr>
          <w:rFonts w:hint="eastAsia" w:ascii="仿宋_GB2312" w:hAnsi="仿宋" w:eastAsia="仿宋_GB2312" w:cs="仿宋"/>
          <w:sz w:val="32"/>
          <w:szCs w:val="32"/>
        </w:rPr>
        <w:t>严格控制餐饮业油烟污染，</w:t>
      </w:r>
      <w:r>
        <w:rPr>
          <w:rFonts w:hint="eastAsia" w:ascii="仿宋_GB2312" w:hAnsi="仿宋_GB2312" w:eastAsia="仿宋_GB2312" w:cs="楷体"/>
          <w:sz w:val="32"/>
          <w:szCs w:val="32"/>
        </w:rPr>
        <w:t>加强对餐饮服务经营场所的油烟排放监督检查，强化露天烧烤监管；制定塔岭工业园区相关工业企业有关规范使用锅炉燃料相关管理条例，降低污染物排放量；夯实应急减排措施，实施秋冬重点行业错峰停修生产，实施差别化管理，细化应急减排措施，落实到企业各工艺环节，实施“一厂一策”清单化管理；推进大气源解析工作。组织技术单位筛选出我县主要污染源，为针对性地提出大气污染物削减方案、减少区域污染、改善大气环境质量提供重要的技术支撑；修订污染天气应急预案，调整预警分级标准，细化工程项目应急管控清单及管控措施，强化部门应急联动。到2025年，PM2.5年均浓度不高于14微克/立方米,城镇空气质量优良天数比例达到98%以上。</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噪声污染防治。</w:t>
      </w:r>
      <w:r>
        <w:rPr>
          <w:rFonts w:hint="eastAsia" w:ascii="仿宋_GB2312" w:hAnsi="仿宋_GB2312" w:eastAsia="仿宋_GB2312" w:cs="楷体"/>
          <w:sz w:val="32"/>
          <w:szCs w:val="32"/>
        </w:rPr>
        <w:t>建立城市（镇）交通噪声、区域噪声和功能区噪声环境质量监测网，对噪声实施有效监控，防治噪声污染；强化娱乐场所管理，对娱乐场所选址设定限制区域；严控夜间连续施工许可审批管理，加强现场核查；加强机动车辆交通噪声管理，合理规划县内禁鸣路段和区域。</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楷体"/>
          <w:b/>
          <w:bCs/>
          <w:sz w:val="32"/>
          <w:szCs w:val="32"/>
        </w:rPr>
        <w:t>加强土壤与固体废物污染防治。</w:t>
      </w:r>
      <w:r>
        <w:rPr>
          <w:rFonts w:hint="eastAsia" w:ascii="仿宋_GB2312" w:hAnsi="仿宋_GB2312" w:eastAsia="仿宋_GB2312" w:cs="楷体"/>
          <w:sz w:val="32"/>
          <w:szCs w:val="32"/>
        </w:rPr>
        <w:t>实施严格的农用地分类管理，加大农业面源污染防治力度，开展土壤改良和土地整治；加强矿区环境治理，</w:t>
      </w:r>
      <w:r>
        <w:rPr>
          <w:rFonts w:hint="eastAsia" w:ascii="仿宋_GB2312" w:hAnsi="仿宋" w:eastAsia="仿宋_GB2312" w:cs="Calibri"/>
          <w:sz w:val="32"/>
          <w:szCs w:val="32"/>
        </w:rPr>
        <w:t>开展历史遗留和已关闭矿区排查、治理修复。</w:t>
      </w:r>
      <w:r>
        <w:rPr>
          <w:rFonts w:hint="eastAsia" w:ascii="仿宋_GB2312" w:hAnsi="仿宋_GB2312" w:eastAsia="仿宋_GB2312" w:cs="楷体"/>
          <w:sz w:val="32"/>
          <w:szCs w:val="32"/>
          <w:lang w:val="zh-CN"/>
        </w:rPr>
        <w:t>综合应用稳定水田比例、</w:t>
      </w:r>
      <w:r>
        <w:rPr>
          <w:rFonts w:hint="eastAsia" w:ascii="仿宋_GB2312" w:hAnsi="仿宋_GB2312" w:eastAsia="仿宋_GB2312" w:cs="楷体"/>
          <w:sz w:val="32"/>
          <w:szCs w:val="32"/>
        </w:rPr>
        <w:t>推广测土配方施肥等综合措施，</w:t>
      </w:r>
      <w:r>
        <w:rPr>
          <w:rFonts w:hint="eastAsia" w:ascii="仿宋_GB2312" w:hAnsi="仿宋_GB2312" w:eastAsia="仿宋_GB2312" w:cs="楷体"/>
          <w:sz w:val="32"/>
          <w:szCs w:val="32"/>
          <w:lang w:val="zh-CN"/>
        </w:rPr>
        <w:t>控制和减缓土壤酸化</w:t>
      </w:r>
      <w:r>
        <w:rPr>
          <w:rFonts w:hint="eastAsia" w:ascii="仿宋_GB2312" w:hAnsi="仿宋_GB2312" w:eastAsia="仿宋_GB2312" w:cs="楷体"/>
          <w:sz w:val="32"/>
          <w:szCs w:val="32"/>
        </w:rPr>
        <w:t>。加强</w:t>
      </w:r>
      <w:r>
        <w:rPr>
          <w:rFonts w:hint="eastAsia" w:ascii="仿宋_GB2312" w:hAnsi="仿宋_GB2312" w:eastAsia="仿宋_GB2312" w:cs="楷体"/>
          <w:sz w:val="32"/>
          <w:szCs w:val="32"/>
        </w:rPr>
        <w:fldChar w:fldCharType="begin"/>
      </w:r>
      <w:r>
        <w:rPr>
          <w:rFonts w:hint="eastAsia" w:ascii="仿宋_GB2312" w:hAnsi="仿宋_GB2312" w:eastAsia="仿宋_GB2312" w:cs="楷体"/>
          <w:sz w:val="32"/>
          <w:szCs w:val="32"/>
        </w:rPr>
        <w:instrText xml:space="preserve"> HYPERLINK "http://baike.sogou.com/lemma/ShowInnerLink.htm?lemmaId=259733&amp;ss_c=ssc.citiao.link" \t "D:2020年项目市县项目定安三年提升方案汇稿_blank" </w:instrText>
      </w:r>
      <w:r>
        <w:rPr>
          <w:rFonts w:hint="eastAsia" w:ascii="仿宋_GB2312" w:hAnsi="仿宋_GB2312" w:eastAsia="仿宋_GB2312" w:cs="楷体"/>
          <w:sz w:val="32"/>
          <w:szCs w:val="32"/>
        </w:rPr>
        <w:fldChar w:fldCharType="separate"/>
      </w:r>
      <w:r>
        <w:rPr>
          <w:rFonts w:hint="eastAsia" w:ascii="仿宋_GB2312" w:hAnsi="仿宋_GB2312" w:eastAsia="仿宋_GB2312" w:cs="楷体"/>
          <w:sz w:val="32"/>
          <w:szCs w:val="32"/>
        </w:rPr>
        <w:t>工业固体废物</w:t>
      </w:r>
      <w:r>
        <w:rPr>
          <w:rFonts w:hint="eastAsia" w:ascii="仿宋_GB2312" w:hAnsi="仿宋_GB2312" w:eastAsia="仿宋_GB2312" w:cs="楷体"/>
          <w:sz w:val="32"/>
          <w:szCs w:val="32"/>
        </w:rPr>
        <w:fldChar w:fldCharType="end"/>
      </w:r>
      <w:r>
        <w:rPr>
          <w:rFonts w:hint="eastAsia" w:ascii="仿宋_GB2312" w:hAnsi="仿宋_GB2312" w:eastAsia="仿宋_GB2312" w:cs="楷体"/>
          <w:sz w:val="32"/>
          <w:szCs w:val="32"/>
        </w:rPr>
        <w:t>综合利用，搭建完善废旧资源回收体系，规范废弃机动车拆解、</w:t>
      </w:r>
      <w:r>
        <w:rPr>
          <w:rFonts w:hint="eastAsia" w:ascii="仿宋_GB2312" w:hAnsi="仿宋_GB2312" w:eastAsia="仿宋_GB2312" w:cs="楷体"/>
          <w:sz w:val="32"/>
          <w:szCs w:val="32"/>
        </w:rPr>
        <w:fldChar w:fldCharType="begin"/>
      </w:r>
      <w:r>
        <w:rPr>
          <w:rFonts w:hint="eastAsia" w:ascii="仿宋_GB2312" w:hAnsi="仿宋_GB2312" w:eastAsia="仿宋_GB2312" w:cs="楷体"/>
          <w:sz w:val="32"/>
          <w:szCs w:val="32"/>
        </w:rPr>
        <w:instrText xml:space="preserve"> HYPERLINK "http://baike.sogou.com/lemma/ShowInnerLink.htm?lemmaId=117064&amp;ss_c=ssc.citiao.link" \t "D:2020年项目市县项目定安三年提升方案汇稿_blank" </w:instrText>
      </w:r>
      <w:r>
        <w:rPr>
          <w:rFonts w:hint="eastAsia" w:ascii="仿宋_GB2312" w:hAnsi="仿宋_GB2312" w:eastAsia="仿宋_GB2312" w:cs="楷体"/>
          <w:sz w:val="32"/>
          <w:szCs w:val="32"/>
        </w:rPr>
        <w:fldChar w:fldCharType="separate"/>
      </w:r>
      <w:r>
        <w:rPr>
          <w:rFonts w:hint="eastAsia" w:ascii="仿宋_GB2312" w:hAnsi="仿宋_GB2312" w:eastAsia="仿宋_GB2312" w:cs="楷体"/>
          <w:sz w:val="32"/>
          <w:szCs w:val="32"/>
        </w:rPr>
        <w:t>电子废物</w:t>
      </w:r>
      <w:r>
        <w:rPr>
          <w:rFonts w:hint="eastAsia" w:ascii="仿宋_GB2312" w:hAnsi="仿宋_GB2312" w:eastAsia="仿宋_GB2312" w:cs="楷体"/>
          <w:sz w:val="32"/>
          <w:szCs w:val="32"/>
        </w:rPr>
        <w:fldChar w:fldCharType="end"/>
      </w:r>
      <w:r>
        <w:rPr>
          <w:rFonts w:hint="eastAsia" w:ascii="仿宋_GB2312" w:hAnsi="仿宋_GB2312" w:eastAsia="仿宋_GB2312" w:cs="楷体"/>
          <w:sz w:val="32"/>
          <w:szCs w:val="32"/>
        </w:rPr>
        <w:t>、废铅蓄电池、</w:t>
      </w:r>
      <w:r>
        <w:rPr>
          <w:rFonts w:hint="eastAsia" w:ascii="仿宋_GB2312" w:hAnsi="仿宋_GB2312" w:eastAsia="仿宋_GB2312" w:cs="楷体"/>
          <w:sz w:val="32"/>
          <w:szCs w:val="32"/>
        </w:rPr>
        <w:fldChar w:fldCharType="begin"/>
      </w:r>
      <w:r>
        <w:rPr>
          <w:rFonts w:hint="eastAsia" w:ascii="仿宋_GB2312" w:hAnsi="仿宋_GB2312" w:eastAsia="仿宋_GB2312" w:cs="楷体"/>
          <w:sz w:val="32"/>
          <w:szCs w:val="32"/>
        </w:rPr>
        <w:instrText xml:space="preserve"> HYPERLINK "http://baike.sogou.com/lemma/ShowInnerLink.htm?lemmaId=7605791&amp;ss_c=ssc.citiao.link" \t "D:2020年项目市县项目定安三年提升方案汇稿_blank" </w:instrText>
      </w:r>
      <w:r>
        <w:rPr>
          <w:rFonts w:hint="eastAsia" w:ascii="仿宋_GB2312" w:hAnsi="仿宋_GB2312" w:eastAsia="仿宋_GB2312" w:cs="楷体"/>
          <w:sz w:val="32"/>
          <w:szCs w:val="32"/>
        </w:rPr>
        <w:fldChar w:fldCharType="separate"/>
      </w:r>
      <w:r>
        <w:rPr>
          <w:rFonts w:hint="eastAsia" w:ascii="仿宋_GB2312" w:hAnsi="仿宋_GB2312" w:eastAsia="仿宋_GB2312" w:cs="楷体"/>
          <w:sz w:val="32"/>
          <w:szCs w:val="32"/>
        </w:rPr>
        <w:t>废塑料</w:t>
      </w:r>
      <w:r>
        <w:rPr>
          <w:rFonts w:hint="eastAsia" w:ascii="仿宋_GB2312" w:hAnsi="仿宋_GB2312" w:eastAsia="仿宋_GB2312" w:cs="楷体"/>
          <w:sz w:val="32"/>
          <w:szCs w:val="32"/>
        </w:rPr>
        <w:fldChar w:fldCharType="end"/>
      </w:r>
      <w:r>
        <w:rPr>
          <w:rFonts w:hint="eastAsia" w:ascii="仿宋_GB2312" w:hAnsi="仿宋_GB2312" w:eastAsia="仿宋_GB2312" w:cs="楷体"/>
          <w:sz w:val="32"/>
          <w:szCs w:val="32"/>
        </w:rPr>
        <w:t>回收和再生利用活动，防止电子产品及废旧机动车回收处理造成土壤污染；建立土壤环境监测网络体系和监测制度，完善建设用地土壤污染风险管控和修复名录，对列入名录的地块实行动态管理；推广城乡生活垃圾分类制度，</w:t>
      </w:r>
      <w:r>
        <w:rPr>
          <w:rFonts w:hint="eastAsia" w:ascii="仿宋_GB2312" w:hAnsi="仿宋" w:eastAsia="仿宋_GB2312" w:cs="仿宋"/>
          <w:sz w:val="32"/>
          <w:szCs w:val="32"/>
        </w:rPr>
        <w:t>加大宣传教育的力度，加快推进“禁止生产、销售和使用一次性不可降解塑料制品”各项工作，严格塑料制品对土壤危害。</w:t>
      </w:r>
      <w:r>
        <w:rPr>
          <w:rFonts w:hint="eastAsia" w:ascii="仿宋_GB2312" w:hAnsi="仿宋_GB2312" w:eastAsia="仿宋_GB2312" w:cs="楷体"/>
          <w:sz w:val="32"/>
          <w:szCs w:val="32"/>
        </w:rPr>
        <w:t>医疗废弃物处理采取严格的分类收集原则，加快推进医疗废物处置设施扩能增容；规范农村工业固体废物的利用与处置, 坚决查处、打击在农村地区非法倾倒、堆置工业固体废物等违法行为；强化畜禽和水产养殖污染防治，</w:t>
      </w:r>
      <w:r>
        <w:rPr>
          <w:rFonts w:hint="eastAsia" w:ascii="仿宋_GB2312" w:hAnsi="仿宋" w:eastAsia="仿宋_GB2312" w:cs="仿宋"/>
          <w:sz w:val="32"/>
          <w:szCs w:val="32"/>
        </w:rPr>
        <w:t>畜禽粪便、沼液沼渣中重金属、有机污染物等主要污染物达到排放标准后方可利用，防止兽用抗生素、激素类药物和重金属对土壤的污染；</w:t>
      </w:r>
      <w:r>
        <w:rPr>
          <w:rFonts w:hint="eastAsia" w:ascii="仿宋_GB2312" w:hAnsi="仿宋" w:eastAsia="仿宋_GB2312" w:cs="仿宋"/>
          <w:sz w:val="32"/>
          <w:szCs w:val="32"/>
          <w:lang w:val="zh-CN"/>
        </w:rPr>
        <w:t>加大耕地保护力度，确保农产品生产安全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控制化肥农药施用强度。</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22" w:name="_Toc6769"/>
      <w:bookmarkStart w:id="423" w:name="_Toc9132"/>
      <w:bookmarkStart w:id="424" w:name="_Toc7317"/>
      <w:bookmarkStart w:id="425" w:name="_Toc1013"/>
      <w:bookmarkStart w:id="426" w:name="_Toc32060"/>
      <w:bookmarkStart w:id="427" w:name="_Toc11715"/>
      <w:bookmarkStart w:id="428" w:name="_Toc25292"/>
      <w:bookmarkStart w:id="429" w:name="_Toc54189211"/>
      <w:bookmarkStart w:id="430" w:name="_Toc30268"/>
      <w:r>
        <w:rPr>
          <w:rFonts w:hint="eastAsia" w:ascii="楷体_GB2312" w:hAnsi="楷体" w:eastAsia="楷体_GB2312" w:cs="楷体"/>
          <w:bCs/>
          <w:sz w:val="32"/>
          <w:szCs w:val="32"/>
        </w:rPr>
        <w:t>第三节  实施环境综合治理</w:t>
      </w:r>
      <w:bookmarkEnd w:id="422"/>
      <w:bookmarkEnd w:id="423"/>
      <w:bookmarkEnd w:id="424"/>
      <w:bookmarkEnd w:id="425"/>
      <w:bookmarkEnd w:id="426"/>
      <w:bookmarkEnd w:id="427"/>
      <w:bookmarkEnd w:id="428"/>
      <w:bookmarkEnd w:id="429"/>
      <w:bookmarkEnd w:id="430"/>
    </w:p>
    <w:p>
      <w:pPr>
        <w:spacing w:line="560" w:lineRule="exact"/>
        <w:ind w:firstLine="640" w:firstLineChars="200"/>
        <w:rPr>
          <w:rFonts w:hint="eastAsia" w:ascii="仿宋_GB2312" w:hAnsi="仿宋_GB2312" w:eastAsia="仿宋_GB2312" w:cs="楷体"/>
          <w:sz w:val="32"/>
          <w:szCs w:val="32"/>
        </w:rPr>
      </w:pPr>
      <w:r>
        <w:rPr>
          <w:rFonts w:hint="eastAsia" w:ascii="仿宋_GB2312" w:hAnsi="仿宋_GB2312" w:eastAsia="仿宋_GB2312" w:cs="楷体"/>
          <w:sz w:val="32"/>
          <w:szCs w:val="32"/>
        </w:rPr>
        <w:t>着力抓好农村人居环境整治，持续改善农村生态环境，建设美丽宜居乡村。围绕“三清两改一建”专项整治，进一步强化措施、压实责任，实施农村生活垃圾处理、污水处理、“厕所革命”等重大工程，强化废旧农膜等农业废弃物回收处置，落实畜禽养殖和水产养殖禁养区划定要求，把农村人居环境整治与脱贫攻坚、美丽乡村建设相结合，不断创新和完善工作举措，采取更加灵活、科学有效的机制，提升农村人居环境治理水平，不断改善农村人居环境，提升城镇建设整体风貌，推动农村人居环境整治尽早进入品质建设阶段，提高人民群众生活质量，建设美丽宜居乡村。</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31" w:name="_Toc27662"/>
      <w:bookmarkStart w:id="432" w:name="_Toc12524"/>
      <w:bookmarkStart w:id="433" w:name="_Toc16254"/>
      <w:bookmarkStart w:id="434" w:name="_Toc11891"/>
      <w:bookmarkStart w:id="435" w:name="_Toc20932"/>
      <w:bookmarkStart w:id="436" w:name="_Toc17033"/>
      <w:bookmarkStart w:id="437" w:name="_Toc25912"/>
      <w:bookmarkStart w:id="438" w:name="_Toc25647"/>
      <w:bookmarkStart w:id="439" w:name="_Toc54189212"/>
      <w:r>
        <w:rPr>
          <w:rFonts w:hint="eastAsia" w:ascii="楷体_GB2312" w:hAnsi="楷体" w:eastAsia="楷体_GB2312" w:cs="楷体"/>
          <w:bCs/>
          <w:sz w:val="32"/>
          <w:szCs w:val="32"/>
        </w:rPr>
        <w:t>第四节  完善生态文明体制</w:t>
      </w:r>
      <w:bookmarkEnd w:id="431"/>
      <w:bookmarkEnd w:id="432"/>
      <w:bookmarkEnd w:id="433"/>
      <w:bookmarkEnd w:id="434"/>
      <w:bookmarkEnd w:id="435"/>
      <w:bookmarkEnd w:id="436"/>
      <w:bookmarkEnd w:id="437"/>
      <w:bookmarkEnd w:id="438"/>
      <w:bookmarkEnd w:id="439"/>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完善生态文明制度体系。</w:t>
      </w:r>
      <w:r>
        <w:rPr>
          <w:rFonts w:hint="eastAsia" w:ascii="仿宋_GB2312" w:hAnsi="仿宋_GB2312" w:eastAsia="仿宋_GB2312" w:cs="楷体"/>
          <w:sz w:val="32"/>
          <w:szCs w:val="32"/>
        </w:rPr>
        <w:t>持续开展生态环境六大专项整治，推动生态环境保护“四个专项”行动形成长效机制。完善生态文明法规体系和定安县绿色标准体系。完善</w:t>
      </w:r>
      <w:r>
        <w:rPr>
          <w:rFonts w:hint="eastAsia" w:ascii="仿宋_GB2312" w:hAnsi="仿宋_GB2312" w:eastAsia="仿宋_GB2312" w:cs="楷体"/>
          <w:sz w:val="32"/>
          <w:szCs w:val="32"/>
          <w:lang w:bidi="ar"/>
        </w:rPr>
        <w:t>生态环境监测网络建设、</w:t>
      </w:r>
      <w:r>
        <w:rPr>
          <w:rFonts w:hint="eastAsia" w:ascii="仿宋_GB2312" w:hAnsi="仿宋_GB2312" w:eastAsia="仿宋_GB2312" w:cs="楷体"/>
          <w:sz w:val="32"/>
          <w:szCs w:val="32"/>
        </w:rPr>
        <w:t>排污许可、生态损害赔偿、环境信用评价、公益诉讼等制度，探索构建生态保护领域行政、民事和刑事“三位一体”的责任追究体系。健全自然资源产权制度。对工业、农业、交通排放的污染物，对大气、土壤、地表水和地下水等中钠污介质，加强统一监管，实现环境污染的全防全控。重视生态系统的整体性规律，充分认识污染防治与生态保护内在联系，增强二者监管的协调性和统一性，建立污染防治和生态保护的联动机制。加强温室气体清单编制等基础能力建设。加强城市基础设施气候适应能力建设。</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推进生态环保智慧建设。</w:t>
      </w:r>
      <w:r>
        <w:rPr>
          <w:rFonts w:hint="eastAsia" w:ascii="仿宋_GB2312" w:hAnsi="仿宋" w:eastAsia="仿宋_GB2312" w:cs="仿宋_GB2312"/>
          <w:sz w:val="32"/>
          <w:szCs w:val="32"/>
          <w:lang w:bidi="ar"/>
        </w:rPr>
        <w:t>打造智慧环保监管平台，</w:t>
      </w:r>
      <w:r>
        <w:rPr>
          <w:rFonts w:hint="eastAsia" w:ascii="仿宋_GB2312" w:hAnsi="仿宋" w:eastAsia="仿宋_GB2312" w:cs="仿宋"/>
          <w:sz w:val="32"/>
          <w:szCs w:val="32"/>
        </w:rPr>
        <w:t>推进农村生活污水智能监管平台建设方案，通过“互联网+移动终端”模式，远程监控设施终端情况，获取设施运行情况和实时画面，发送预警信息，提高维护维修。</w:t>
      </w:r>
      <w:r>
        <w:rPr>
          <w:rFonts w:hint="eastAsia" w:ascii="仿宋_GB2312" w:hAnsi="仿宋_GB2312" w:eastAsia="仿宋_GB2312" w:cs="楷体"/>
          <w:sz w:val="32"/>
          <w:szCs w:val="32"/>
        </w:rPr>
        <w:t>加强空气自动监测能力建设和机动车尾气遥感检查系统建设，完善污染源自动在线监控中心配置，推进饮用水源地水质自动监测站、县级土壤环境质量风险监测网、功能区噪声环境质量监测网等建设，加强生态环保领域信息化建设。</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40" w:name="_Toc18276"/>
      <w:bookmarkStart w:id="441" w:name="_Toc1401"/>
      <w:bookmarkStart w:id="442" w:name="_Toc2778"/>
      <w:bookmarkStart w:id="443" w:name="_Toc27205"/>
      <w:bookmarkStart w:id="444" w:name="_Toc28006"/>
      <w:bookmarkStart w:id="445" w:name="_Toc13571"/>
      <w:bookmarkStart w:id="446" w:name="_Toc19870"/>
      <w:bookmarkStart w:id="447" w:name="_Toc21848"/>
      <w:bookmarkStart w:id="448" w:name="_Toc54189213"/>
      <w:r>
        <w:rPr>
          <w:rFonts w:hint="eastAsia" w:ascii="楷体_GB2312" w:hAnsi="楷体" w:eastAsia="楷体_GB2312" w:cs="楷体"/>
          <w:bCs/>
          <w:sz w:val="32"/>
          <w:szCs w:val="32"/>
        </w:rPr>
        <w:t>第五节  推进绿色低碳发展</w:t>
      </w:r>
      <w:bookmarkEnd w:id="440"/>
      <w:bookmarkEnd w:id="441"/>
      <w:bookmarkEnd w:id="442"/>
      <w:bookmarkEnd w:id="443"/>
      <w:bookmarkEnd w:id="444"/>
      <w:bookmarkEnd w:id="445"/>
      <w:bookmarkEnd w:id="446"/>
      <w:bookmarkEnd w:id="447"/>
      <w:bookmarkEnd w:id="448"/>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推广绿色生活理念。</w:t>
      </w:r>
      <w:r>
        <w:rPr>
          <w:rFonts w:hint="eastAsia" w:ascii="仿宋_GB2312" w:hAnsi="仿宋_GB2312" w:eastAsia="仿宋_GB2312" w:cs="楷体"/>
          <w:sz w:val="32"/>
          <w:szCs w:val="32"/>
        </w:rPr>
        <w:t>落实“清洁能源岛”行动。</w:t>
      </w:r>
      <w:r>
        <w:rPr>
          <w:rFonts w:hint="eastAsia" w:ascii="仿宋_GB2312" w:hAnsi="仿宋" w:eastAsia="仿宋_GB2312" w:cs="仿宋"/>
          <w:sz w:val="32"/>
          <w:szCs w:val="32"/>
          <w:lang w:bidi="ar"/>
        </w:rPr>
        <w:t>加快构建以清洁电力和天然气为主体、可再生能源为重点补充的清洁能源体系。</w:t>
      </w:r>
      <w:r>
        <w:rPr>
          <w:rFonts w:hint="eastAsia" w:ascii="仿宋_GB2312" w:hAnsi="仿宋_GB2312" w:eastAsia="仿宋_GB2312" w:cs="楷体"/>
          <w:sz w:val="32"/>
          <w:szCs w:val="32"/>
        </w:rPr>
        <w:t>形成绿色生活方式，培养绿色生活理念，开展节约型机关、绿色家庭、绿色学校、绿色社区、绿色出行、绿色商场、绿色建筑七大行动，制定实施细则。推行绿色消费，出台快递业、共享经济等新业态的规范标准，推广环境标志产品、有机产品等绿色产品。提倡绿色居住，节约用水用电，合理控制夏季空调和冬季取暖室内温度。大力发展公共交通，鼓励骑行、步行等绿色出行。建设低碳园区、低碳景区。宣传一批成效突出、特点鲜明的绿色生活优秀典型，形成崇尚绿色生活的社会氛围。</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加强生态文明宣教。</w:t>
      </w:r>
      <w:r>
        <w:rPr>
          <w:rFonts w:hint="eastAsia" w:ascii="仿宋_GB2312" w:hAnsi="仿宋_GB2312" w:eastAsia="仿宋_GB2312" w:cs="楷体"/>
          <w:sz w:val="32"/>
          <w:szCs w:val="32"/>
        </w:rPr>
        <w:t>建立中小学教育基地建设，推进环境职业教育；加强企业的环保责任意识，开展面向社会的环境责任培训；深入开展农村环境宣传教育试点，开展环保知识下乡和农村生态产业技术推广活动等方式不断加强生态文明宣传教育，并要进行跟踪检查，关注宣传教育的效果，建立绩效评估考核体系，进行定期评估。</w:t>
      </w:r>
    </w:p>
    <w:p>
      <w:pPr>
        <w:spacing w:line="560" w:lineRule="exact"/>
        <w:ind w:firstLine="642" w:firstLineChars="200"/>
        <w:rPr>
          <w:rFonts w:hint="eastAsia" w:ascii="仿宋_GB2312" w:hAnsi="仿宋_GB2312" w:eastAsia="仿宋_GB2312" w:cs="楷体"/>
          <w:sz w:val="32"/>
          <w:szCs w:val="32"/>
        </w:rPr>
      </w:pPr>
      <w:r>
        <w:rPr>
          <w:rFonts w:hint="eastAsia" w:ascii="仿宋_GB2312" w:hAnsi="仿宋_GB2312" w:eastAsia="仿宋_GB2312" w:cs="楷体"/>
          <w:b/>
          <w:bCs/>
          <w:sz w:val="32"/>
          <w:szCs w:val="32"/>
        </w:rPr>
        <w:t>强化绿色产业准入。</w:t>
      </w:r>
      <w:r>
        <w:rPr>
          <w:rFonts w:hint="eastAsia" w:ascii="仿宋_GB2312" w:hAnsi="仿宋_GB2312" w:eastAsia="仿宋_GB2312" w:cs="楷体"/>
          <w:sz w:val="32"/>
          <w:szCs w:val="32"/>
        </w:rPr>
        <w:t>落实《绿色产业指导目录》，</w:t>
      </w:r>
      <w:r>
        <w:rPr>
          <w:rFonts w:hint="eastAsia" w:ascii="仿宋_GB2312" w:hAnsi="仿宋_GB2312" w:eastAsia="仿宋_GB2312" w:cs="楷体"/>
          <w:bCs/>
          <w:sz w:val="32"/>
          <w:szCs w:val="32"/>
        </w:rPr>
        <w:t>严格实行产业准入管理，建立绿色招商引资准入门槛，</w:t>
      </w:r>
      <w:r>
        <w:rPr>
          <w:rFonts w:hint="eastAsia" w:ascii="仿宋_GB2312" w:hAnsi="仿宋_GB2312" w:eastAsia="仿宋_GB2312" w:cs="楷体"/>
          <w:sz w:val="32"/>
          <w:szCs w:val="32"/>
        </w:rPr>
        <w:t>加强绿色产业发展政策引导与支持。抓好中央环保督察反馈问题整改工作，建立绿色产业发展准入标准，建立以保护优先、绿色发展为导向的经济和社会发展考核评价体系，将资源消耗、环境损害和生态效益纳入经济社会发展评价体系。</w:t>
      </w:r>
    </w:p>
    <w:p>
      <w:pPr>
        <w:pStyle w:val="2"/>
        <w:rPr>
          <w:rFonts w:hint="eastAsia" w:ascii="仿宋_GB2312" w:hAnsi="仿宋_GB2312" w:eastAsia="仿宋_GB2312" w:cs="楷体"/>
          <w:sz w:val="32"/>
          <w:szCs w:val="32"/>
        </w:rPr>
      </w:pPr>
    </w:p>
    <w:p>
      <w:pPr>
        <w:pStyle w:val="2"/>
        <w:rPr>
          <w:rFonts w:hint="eastAsia" w:ascii="仿宋_GB2312" w:hAnsi="仿宋_GB2312" w:eastAsia="仿宋_GB2312" w:cs="楷体"/>
          <w:sz w:val="32"/>
          <w:szCs w:val="32"/>
        </w:rPr>
      </w:pP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eastAsia="仿宋_GB2312"/>
                <w:sz w:val="24"/>
              </w:rPr>
            </w:pPr>
            <w:r>
              <w:rPr>
                <w:rFonts w:hint="eastAsia" w:ascii="仿宋_GB2312" w:eastAsia="仿宋_GB2312"/>
                <w:sz w:val="24"/>
              </w:rPr>
              <w:t>专栏14：生态文明建设重点工程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定城污水处理厂二期改扩建工程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定安县定城污水截流并网工程（三期）</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定安县新竹绿色建筑产业基地基础设施项目（一期）污水处理厂工程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定安县新竹镇污水处理设施及配套管网工程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定安县岭口镇污水处理及配套管网工程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定安县龙河镇污水处理及配套管网工程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定安县富文镇污水处理及配套管网工程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定安县雷鸣镇污水处理设施工程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母瑞山污水厂及管网项目</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金鸡岭污水处理设施工程</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定城镇仙沟墟、龙州墟、龙湖镇永丰墟、富文镇坡寨墟污水管网建设</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定安县老县城雨污分流项目</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定安县城乡污水治理（黄竹、龙湖、龙门、翰林）PPP项目</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定安县农村污水治理项目</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定安县农村生活污水治理工程（二期）</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定安县富文镇金矿区废弃竖井地质环境恢复治理项目</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定安县南丽湖垃圾转运站</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定安县新竹绿色建筑产业基地基础设施项目（一期）垃圾转运站</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石龙、黄威东、官井、麻罗岭、龙州河水库水资源节约与保护</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同仁溪流域综合治理</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岭后河流域综合治理</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龙州河龙河段流域综合治理</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龙州河畔生态旅游观光带建设项目</w:t>
            </w:r>
          </w:p>
          <w:p>
            <w:pPr>
              <w:pStyle w:val="12"/>
              <w:numPr>
                <w:ilvl w:val="0"/>
                <w:numId w:val="14"/>
              </w:numPr>
              <w:ind w:firstLine="0"/>
              <w:rPr>
                <w:rFonts w:hint="eastAsia" w:ascii="仿宋_GB2312" w:hAnsi="Times New Roman" w:eastAsia="仿宋_GB2312"/>
                <w:color w:val="auto"/>
                <w:kern w:val="2"/>
              </w:rPr>
            </w:pPr>
            <w:r>
              <w:rPr>
                <w:rFonts w:hint="eastAsia" w:ascii="仿宋_GB2312" w:hAnsi="Times New Roman" w:eastAsia="仿宋_GB2312"/>
                <w:color w:val="auto"/>
                <w:kern w:val="2"/>
              </w:rPr>
              <w:t>南渡江（定安段）生态修复与功能提升工程</w:t>
            </w:r>
          </w:p>
          <w:p>
            <w:pPr>
              <w:pStyle w:val="12"/>
              <w:numPr>
                <w:ilvl w:val="0"/>
                <w:numId w:val="14"/>
              </w:numPr>
              <w:ind w:firstLine="0"/>
              <w:rPr>
                <w:color w:val="auto"/>
              </w:rPr>
            </w:pPr>
            <w:r>
              <w:rPr>
                <w:rFonts w:hint="eastAsia" w:ascii="仿宋_GB2312" w:hAnsi="Times New Roman" w:eastAsia="仿宋_GB2312"/>
                <w:color w:val="auto"/>
                <w:kern w:val="2"/>
              </w:rPr>
              <w:t>白沙溪、潭榄溪、温村水、石龙、官井、麻罗岭、黄威东、龙州河等河湖生态保护修复</w:t>
            </w:r>
          </w:p>
        </w:tc>
      </w:tr>
    </w:tbl>
    <w:p>
      <w:pPr>
        <w:pStyle w:val="12"/>
        <w:spacing w:before="239" w:beforeLines="50" w:after="239" w:afterLines="50" w:line="560" w:lineRule="exact"/>
        <w:jc w:val="center"/>
        <w:outlineLvl w:val="0"/>
        <w:rPr>
          <w:rFonts w:hint="eastAsia" w:ascii="黑体" w:hAnsi="黑体" w:eastAsia="黑体"/>
          <w:bCs/>
          <w:color w:val="auto"/>
          <w:sz w:val="32"/>
          <w:szCs w:val="32"/>
        </w:rPr>
      </w:pPr>
      <w:bookmarkStart w:id="449" w:name="_Toc9830"/>
      <w:bookmarkStart w:id="450" w:name="_Toc28789"/>
      <w:bookmarkStart w:id="451" w:name="_Toc21339"/>
      <w:bookmarkStart w:id="452" w:name="_Toc20859"/>
      <w:bookmarkStart w:id="453" w:name="_Toc453"/>
      <w:bookmarkStart w:id="454" w:name="_Toc54189165"/>
      <w:bookmarkStart w:id="455" w:name="_Toc54189214"/>
      <w:bookmarkStart w:id="456" w:name="_Toc15499"/>
      <w:bookmarkStart w:id="457" w:name="_Toc21358"/>
      <w:bookmarkStart w:id="458" w:name="_Toc2676"/>
      <w:bookmarkStart w:id="459" w:name="_Toc21648"/>
      <w:bookmarkStart w:id="460" w:name="_Toc12170"/>
      <w:bookmarkStart w:id="461" w:name="_Toc25016"/>
    </w:p>
    <w:p>
      <w:pPr>
        <w:pStyle w:val="12"/>
        <w:spacing w:before="239" w:beforeLines="50" w:after="239" w:afterLines="50" w:line="560" w:lineRule="exact"/>
        <w:ind w:left="0" w:leftChars="0" w:firstLine="0" w:firstLineChars="0"/>
        <w:jc w:val="center"/>
        <w:outlineLvl w:val="0"/>
        <w:rPr>
          <w:rFonts w:hint="eastAsia" w:ascii="黑体" w:hAnsi="黑体" w:eastAsia="黑体"/>
          <w:b/>
          <w:color w:val="auto"/>
          <w:sz w:val="32"/>
          <w:szCs w:val="32"/>
        </w:rPr>
      </w:pPr>
      <w:r>
        <w:rPr>
          <w:rFonts w:hint="eastAsia" w:ascii="黑体" w:hAnsi="黑体" w:eastAsia="黑体"/>
          <w:bCs/>
          <w:color w:val="auto"/>
          <w:sz w:val="32"/>
          <w:szCs w:val="32"/>
        </w:rPr>
        <w:t>第十一章  健全社会治理格局，建设平安定安</w:t>
      </w:r>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560" w:lineRule="exact"/>
        <w:ind w:firstLine="640" w:firstLineChars="200"/>
        <w:rPr>
          <w:rFonts w:hint="eastAsia" w:ascii="仿宋_GB2312" w:hAnsi="仿宋_GB2312" w:eastAsia="仿宋_GB2312" w:cs="宋体"/>
          <w:bCs/>
          <w:kern w:val="0"/>
          <w:sz w:val="32"/>
          <w:szCs w:val="32"/>
        </w:rPr>
      </w:pPr>
      <w:bookmarkStart w:id="462" w:name="_Toc1335"/>
      <w:bookmarkStart w:id="463" w:name="_Toc7046"/>
      <w:bookmarkStart w:id="464" w:name="_Toc54189215"/>
      <w:bookmarkStart w:id="465" w:name="_Toc5578"/>
      <w:r>
        <w:rPr>
          <w:rFonts w:hint="eastAsia" w:ascii="仿宋_GB2312" w:hAnsi="仿宋_GB2312" w:eastAsia="仿宋_GB2312" w:cs="宋体"/>
          <w:bCs/>
          <w:kern w:val="0"/>
          <w:sz w:val="32"/>
          <w:szCs w:val="32"/>
        </w:rPr>
        <w:t>切实提高运用法治思维和法治方式推动发展的能力，加强和创新社会治理，提高基层治理能力，防范化解重大风险，深化军民融合发展，推进平安定安建设。</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66" w:name="_Toc15641"/>
      <w:bookmarkStart w:id="467" w:name="_Toc8734"/>
      <w:bookmarkStart w:id="468" w:name="_Toc560"/>
      <w:bookmarkStart w:id="469" w:name="_Toc2655"/>
      <w:bookmarkStart w:id="470" w:name="_Toc18390"/>
      <w:r>
        <w:rPr>
          <w:rFonts w:hint="eastAsia" w:ascii="楷体_GB2312" w:hAnsi="楷体" w:eastAsia="楷体_GB2312" w:cs="楷体"/>
          <w:bCs/>
          <w:sz w:val="32"/>
          <w:szCs w:val="32"/>
        </w:rPr>
        <w:t>第一节  全面推进依法治县</w:t>
      </w:r>
      <w:bookmarkEnd w:id="462"/>
      <w:bookmarkEnd w:id="463"/>
      <w:bookmarkEnd w:id="464"/>
      <w:bookmarkEnd w:id="465"/>
      <w:bookmarkEnd w:id="466"/>
      <w:bookmarkEnd w:id="467"/>
      <w:bookmarkEnd w:id="468"/>
      <w:bookmarkEnd w:id="469"/>
      <w:bookmarkEnd w:id="470"/>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提升依法治县水平。</w:t>
      </w:r>
      <w:r>
        <w:rPr>
          <w:rFonts w:hint="eastAsia" w:ascii="仿宋_GB2312" w:hAnsi="仿宋_GB2312" w:eastAsia="仿宋_GB2312" w:cs="宋体"/>
          <w:bCs/>
          <w:kern w:val="0"/>
          <w:sz w:val="32"/>
          <w:szCs w:val="32"/>
        </w:rPr>
        <w:t>全面贯彻自由贸易港建设相关法律法规，加强法律监督、民主监督，促进司法公正。</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深化行政执法体制改革。</w:t>
      </w:r>
      <w:r>
        <w:rPr>
          <w:rFonts w:hint="eastAsia" w:ascii="仿宋_GB2312" w:hAnsi="仿宋_GB2312" w:eastAsia="仿宋_GB2312" w:cs="宋体"/>
          <w:bCs/>
          <w:kern w:val="0"/>
          <w:sz w:val="32"/>
          <w:szCs w:val="32"/>
        </w:rPr>
        <w:t>严格执行《海南省行政执法规则》，完善行政执法程序，规范行政执法行为，实行“一支队伍”管执法，根据实际情况制定安县行政执法细则。落实行政执法责任制，健全行政权力运行制约和监督体系，落实执法过错责任追究制度，实施综合行政执法“红黑名单”制度，建立综合行政执法信用体系。健全行政执法和刑事司法衔接机制。整合执法职责，优化执法队伍，落实执法人员持证上岗资格培训、综合业务培训，开展高级执法资格考试。推动行业主管部门和综合执法部门加强信息共享、执法协助、业务培训、技术支持、举报受理、案件移送等方面协作。</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加强城市管理行政执法。</w:t>
      </w:r>
      <w:r>
        <w:rPr>
          <w:rFonts w:hint="eastAsia" w:ascii="仿宋_GB2312" w:hAnsi="仿宋_GB2312" w:eastAsia="仿宋_GB2312" w:cs="宋体"/>
          <w:bCs/>
          <w:kern w:val="0"/>
          <w:sz w:val="32"/>
          <w:szCs w:val="32"/>
        </w:rPr>
        <w:t>打赢“两违”整治攻坚战，依法依规实施分类处置，强化新增违建巡查管控工作机制，实现新增违建“零增长”。推进城区环境整治，落实环境保护属地管理和网格化管理，推进</w:t>
      </w:r>
      <w:bookmarkStart w:id="471" w:name="_Hlk44224125"/>
      <w:r>
        <w:rPr>
          <w:rFonts w:hint="eastAsia" w:ascii="仿宋_GB2312" w:hAnsi="仿宋_GB2312" w:eastAsia="仿宋_GB2312" w:cs="宋体"/>
          <w:bCs/>
          <w:kern w:val="0"/>
          <w:sz w:val="32"/>
          <w:szCs w:val="32"/>
        </w:rPr>
        <w:t>“十乱”现象整治</w:t>
      </w:r>
      <w:bookmarkEnd w:id="471"/>
      <w:r>
        <w:rPr>
          <w:rFonts w:hint="eastAsia" w:ascii="仿宋_GB2312" w:hAnsi="仿宋_GB2312" w:eastAsia="仿宋_GB2312" w:cs="宋体"/>
          <w:bCs/>
          <w:kern w:val="0"/>
          <w:sz w:val="32"/>
          <w:szCs w:val="32"/>
        </w:rPr>
        <w:t>、校园周边环境整治、不文明行为整治等工作，提升“门前三包”监督管理水平。</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完善重点领域执法机制。</w:t>
      </w:r>
      <w:r>
        <w:rPr>
          <w:rFonts w:hint="eastAsia" w:ascii="仿宋_GB2312" w:hAnsi="仿宋_GB2312" w:eastAsia="仿宋_GB2312" w:cs="宋体"/>
          <w:bCs/>
          <w:kern w:val="0"/>
          <w:sz w:val="32"/>
          <w:szCs w:val="32"/>
        </w:rPr>
        <w:t>加强对财政资金分配使用、国有资产监管、政府投资、政府采购、公共资源转让、公共工程建设等权力部门和岗位实行分事行权、分岗设权、定期轮岗，强化内部流程控制。完善审计制度，保障依法独立行使审计监督权。</w:t>
      </w:r>
    </w:p>
    <w:p>
      <w:pPr>
        <w:spacing w:line="560" w:lineRule="exact"/>
        <w:ind w:firstLine="642" w:firstLineChars="200"/>
        <w:rPr>
          <w:rFonts w:ascii="仿宋_GB2312" w:hAnsi="仿宋_GB2312" w:eastAsia="仿宋_GB2312" w:cs="宋体"/>
          <w:bCs/>
          <w:kern w:val="0"/>
          <w:sz w:val="32"/>
          <w:szCs w:val="32"/>
        </w:rPr>
      </w:pPr>
      <w:r>
        <w:rPr>
          <w:rFonts w:hint="eastAsia" w:ascii="仿宋_GB2312" w:hAnsi="仿宋_GB2312" w:eastAsia="仿宋_GB2312" w:cs="宋体"/>
          <w:b/>
          <w:kern w:val="0"/>
          <w:sz w:val="32"/>
          <w:szCs w:val="32"/>
        </w:rPr>
        <w:t>全面提升公民守法意识。</w:t>
      </w:r>
      <w:r>
        <w:rPr>
          <w:rFonts w:hint="eastAsia" w:ascii="仿宋_GB2312" w:hAnsi="仿宋_GB2312" w:eastAsia="仿宋_GB2312" w:cs="宋体"/>
          <w:bCs/>
          <w:kern w:val="0"/>
          <w:sz w:val="32"/>
          <w:szCs w:val="32"/>
        </w:rPr>
        <w:t>加强法制宣传教育，开展政策法规宣讲活动，引导教育公民自觉遵守法律法规，依法维护合法权益。完善信用“红黑名单”制度，落实守信联合激励和失信联合惩戒机制，建设“诚信定安”。加强法治文化宣教，推动《民法典》普及教育，增强全民法治意识。打造“法治文化精品交通线路”，传播法治理念。在车厢、车站张贴宣传海报、滚动播放法治宣传片，将法治文化精品交通线路作为法治文化教育传播阵地。开展法治进校园活动，加强对未成年人的法治教育。</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提升多元化纠纷化解水平。</w:t>
      </w:r>
      <w:r>
        <w:rPr>
          <w:rFonts w:hint="eastAsia" w:ascii="仿宋_GB2312" w:hAnsi="仿宋_GB2312" w:eastAsia="仿宋_GB2312" w:cs="宋体"/>
          <w:bCs/>
          <w:kern w:val="0"/>
          <w:sz w:val="32"/>
          <w:szCs w:val="32"/>
        </w:rPr>
        <w:t>构建多元化商事纠纷解决处理机制，建设与国际接轨的司法服务能力，维护公平竞争市场秩序。加大对拒不履行生效判决、裁定等违法犯罪行为的打击力度，建设失信被执行人信用联合惩戒体系。加强行政审判，优化守法诚信的政务环境，加大查处惩治贪污腐败的力度，塑造廉洁高效的政务环境。</w:t>
      </w:r>
    </w:p>
    <w:p>
      <w:pPr>
        <w:pStyle w:val="12"/>
        <w:spacing w:line="560" w:lineRule="exact"/>
        <w:ind w:firstLine="642" w:firstLineChars="200"/>
        <w:rPr>
          <w:rFonts w:eastAsia="仿宋_GB2312"/>
          <w:color w:val="auto"/>
          <w:sz w:val="32"/>
          <w:szCs w:val="32"/>
        </w:rPr>
      </w:pPr>
      <w:r>
        <w:rPr>
          <w:rFonts w:hint="eastAsia" w:ascii="仿宋_GB2312" w:hAnsi="仿宋_GB2312" w:eastAsia="仿宋_GB2312" w:cs="宋体"/>
          <w:b/>
          <w:color w:val="auto"/>
          <w:sz w:val="32"/>
          <w:szCs w:val="32"/>
        </w:rPr>
        <w:t>推动城市管理智慧化。</w:t>
      </w:r>
      <w:r>
        <w:rPr>
          <w:rFonts w:hint="eastAsia" w:ascii="仿宋_GB2312" w:hAnsi="仿宋_GB2312" w:eastAsia="仿宋_GB2312" w:cs="宋体"/>
          <w:bCs/>
          <w:color w:val="auto"/>
          <w:sz w:val="32"/>
          <w:szCs w:val="32"/>
        </w:rPr>
        <w:t>通过利用12345等便民服务热线，促进城市管理精细化。着力打造全时段、全视角、全方位的数字化城市管理工程，运用互联网、大数据等信息技术手段治理城市，促进城市管理由粗放型向精细型转变。打造“互联网+综合执法”模式，建设城市管理、执法、服务平台，形成具备高度感知、互联、智能能力的城市管理新模式。</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72" w:name="_Toc54189216"/>
      <w:bookmarkStart w:id="473" w:name="_Toc1890"/>
      <w:bookmarkStart w:id="474" w:name="_Toc13393"/>
      <w:bookmarkStart w:id="475" w:name="_Toc32291"/>
      <w:bookmarkStart w:id="476" w:name="_Toc21114"/>
      <w:bookmarkStart w:id="477" w:name="_Toc31932"/>
      <w:bookmarkStart w:id="478" w:name="_Toc8984"/>
      <w:bookmarkStart w:id="479" w:name="_Toc9384"/>
      <w:bookmarkStart w:id="480" w:name="_Toc29907"/>
      <w:r>
        <w:rPr>
          <w:rFonts w:hint="eastAsia" w:ascii="楷体_GB2312" w:hAnsi="楷体" w:eastAsia="楷体_GB2312" w:cs="楷体"/>
          <w:bCs/>
          <w:sz w:val="32"/>
          <w:szCs w:val="32"/>
        </w:rPr>
        <w:t>第二节  健全社会治理格局</w:t>
      </w:r>
      <w:bookmarkEnd w:id="472"/>
      <w:bookmarkEnd w:id="473"/>
      <w:bookmarkEnd w:id="474"/>
      <w:bookmarkEnd w:id="475"/>
      <w:bookmarkEnd w:id="476"/>
      <w:bookmarkEnd w:id="477"/>
      <w:bookmarkEnd w:id="478"/>
      <w:bookmarkEnd w:id="479"/>
      <w:bookmarkEnd w:id="480"/>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深化户籍制度等方面改革。</w:t>
      </w:r>
      <w:r>
        <w:rPr>
          <w:rFonts w:hint="eastAsia" w:ascii="仿宋_GB2312" w:hAnsi="仿宋_GB2312" w:eastAsia="仿宋_GB2312" w:cs="宋体"/>
          <w:bCs/>
          <w:kern w:val="0"/>
          <w:sz w:val="32"/>
          <w:szCs w:val="32"/>
        </w:rPr>
        <w:t>放宽户口迁移政策。实现各类行业协会商会与行政机关全面脱钩，赋予行业组织更大自主权，发挥其在市场秩序维护、标准制定实施、行业纠纷调处中的重要作用。推动区域链等技术集成应用于治理体系和治理能力现代化。规范地名标志设置，全面推进公共场所外语标识标牌规范化、标准化建设。</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加强基层组织建设。</w:t>
      </w:r>
      <w:r>
        <w:rPr>
          <w:rFonts w:hint="eastAsia" w:ascii="仿宋_GB2312" w:hAnsi="仿宋_GB2312" w:eastAsia="仿宋_GB2312" w:cs="宋体"/>
          <w:bCs/>
          <w:kern w:val="0"/>
          <w:sz w:val="32"/>
          <w:szCs w:val="32"/>
        </w:rPr>
        <w:t>坚持分类指导，推进基层党组织规范化建设，把农村、街道社区、企业、机关、学校、科研院所、社会组织等基层党组织建设成为美好新定安的坚强战斗堡垒。完善“一核两委一会”，牢固树立一切工作到支部的鲜明导向。推进大社区综合服务模式，完善城乡社区综合服务设施，为居民提供便捷高效的服务，推动居民小区成立业主委员会，构建社区、社会组织、社会工作、社区志愿者“四社联运”社区治理机制。在城镇和农村社区推行网格化管理全覆盖，进一步优化基层社区治理模式。</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加强基层治理能力建设。</w:t>
      </w:r>
      <w:r>
        <w:rPr>
          <w:rFonts w:hint="eastAsia" w:ascii="仿宋_GB2312" w:hAnsi="仿宋_GB2312" w:eastAsia="仿宋_GB2312" w:cs="宋体"/>
          <w:bCs/>
          <w:kern w:val="0"/>
          <w:sz w:val="32"/>
          <w:szCs w:val="32"/>
        </w:rPr>
        <w:t>壮大带头人队伍，研究制定“回引”农村基层人才实施办法，实行“一村一名大学生”计划，定期分批次选派优秀“村官”和后备干部到先进地区挂职跟班学习。完善三级政务服务体系，推进村（社区）服务中心建设。提升基层治理能力，推行家风、村风、党风教育，大力移风易俗，深入开展“法律进乡村”活动，建立统一的“智慧村庄”综合管理服务平台，推进“放管服”改革和“最多跑一次”改革向基层延伸。</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持续推进平安定安建设。</w:t>
      </w:r>
      <w:r>
        <w:rPr>
          <w:rFonts w:hint="eastAsia" w:ascii="仿宋_GB2312" w:hAnsi="仿宋_GB2312" w:eastAsia="仿宋_GB2312" w:cs="宋体"/>
          <w:bCs/>
          <w:kern w:val="0"/>
          <w:sz w:val="32"/>
          <w:szCs w:val="32"/>
        </w:rPr>
        <w:t>坚持维护国家政治安全、坚守不搞“黄赌毒”的底线，深入开展扫黑除恶，针对重点领域、重点行业、重点部位进行全面摸底排查，严厉打击黑恶势力、宗族恶势力和黄赌毒、盗拐骗、破坏生态等违法犯罪行为，对于“菜霸”“砂霸”“运霸”等问题予以坚决打击。持续开展禁毒大会战，强力整治涉赌涉枪涉毒涉恶、电信网络诈骗、恐怖融资、盗抢骗拐等违法犯罪活动。依法加大对农村非法宗教活动和境外渗透活动打击力度。加强未成年人保护和预防犯罪工作。建立健全民生问题重大决策社会稳定风险评估机制，健全专业化调解组织，提升矛盾风险化解水平。</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81" w:name="_Toc48345419"/>
      <w:bookmarkStart w:id="482" w:name="_Toc26192"/>
      <w:bookmarkStart w:id="483" w:name="_Toc1832"/>
      <w:bookmarkStart w:id="484" w:name="_Toc26156"/>
      <w:bookmarkStart w:id="485" w:name="_Toc17332"/>
      <w:bookmarkStart w:id="486" w:name="_Toc10472"/>
      <w:bookmarkStart w:id="487" w:name="_Toc24059"/>
      <w:bookmarkStart w:id="488" w:name="_Toc23990"/>
      <w:bookmarkStart w:id="489" w:name="_Toc10058"/>
      <w:bookmarkStart w:id="490" w:name="_Toc54189217"/>
      <w:r>
        <w:rPr>
          <w:rFonts w:hint="eastAsia" w:ascii="楷体_GB2312" w:hAnsi="楷体" w:eastAsia="楷体_GB2312" w:cs="楷体"/>
          <w:bCs/>
          <w:sz w:val="32"/>
          <w:szCs w:val="32"/>
        </w:rPr>
        <w:t xml:space="preserve">第三节 </w:t>
      </w:r>
      <w:bookmarkEnd w:id="481"/>
      <w:r>
        <w:rPr>
          <w:rFonts w:hint="eastAsia" w:ascii="楷体_GB2312" w:hAnsi="楷体" w:eastAsia="楷体_GB2312" w:cs="楷体"/>
          <w:bCs/>
          <w:sz w:val="32"/>
          <w:szCs w:val="32"/>
        </w:rPr>
        <w:t xml:space="preserve"> 防范化解重大风险</w:t>
      </w:r>
      <w:bookmarkEnd w:id="482"/>
      <w:bookmarkEnd w:id="483"/>
      <w:bookmarkEnd w:id="484"/>
      <w:bookmarkEnd w:id="485"/>
      <w:bookmarkEnd w:id="486"/>
      <w:bookmarkEnd w:id="487"/>
      <w:bookmarkEnd w:id="488"/>
      <w:bookmarkEnd w:id="489"/>
      <w:bookmarkEnd w:id="490"/>
    </w:p>
    <w:p>
      <w:pPr>
        <w:spacing w:line="560" w:lineRule="exact"/>
        <w:ind w:firstLine="640" w:firstLineChars="200"/>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提升防范和化解各种风险的治理能力，确保不发生系统性风险。依法打击走私行为，建立税收综合监管机制，防范打击逃税避税行为。建立健全资金流动监测和风险防控体系，加强反洗钱、反恐怖融资和反逃税审查，高标准高质量建设公共卫生体系，推动县疾病预防控制中心标准化建设，提升监测预警和应急响应能力，健全统一的应急物资保障体系，建立专业化的应急抢险队伍，建设信息化的应急救援设施设备，不断提高安全生产等突发事件的应急处置能力，构建自然灾害防抗救一体化水平。扎实推进城乡消防站（队）建设、公共消防设施建设和消防责任制的落实，确保‘十四五’期间消防发展与定安城市发展同步，消防安全布局及公共消防基础设施建设与经济发展统筹协调发展。根据“党政同责、一岗双责”落实安全生产防范措施，全县各单位要按照“管行业必须管安全、管业务必须管安全、管生产经营必须管安全”的原则开展安全生产隐患排查及督促整改落实，将安全生产年度考核结果作为党政领导干部考核任用的重要依据，持续推动全县安全生产形势稳中向好。大力防范化解生态风险，实行严格的进出境环境安全准入管理制度，加强网络形态管理，强化舆情研判及响应机制，坚持党政同责。全面加强网络安全保障体系和能力建设。以“四个最严”加强食品药品安全监管，防范食品、药品安全区域性及系统性风险。加强产品质量安全管控，健全安全生产机制。</w:t>
      </w:r>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bookmarkStart w:id="491" w:name="_Toc23746"/>
      <w:bookmarkStart w:id="492" w:name="_Toc48345405"/>
      <w:bookmarkStart w:id="493" w:name="_Toc32379"/>
      <w:bookmarkStart w:id="494" w:name="_Toc12225"/>
      <w:bookmarkStart w:id="495" w:name="_Toc3358"/>
      <w:bookmarkStart w:id="496" w:name="_Toc11161"/>
      <w:bookmarkStart w:id="497" w:name="_Toc532"/>
      <w:bookmarkStart w:id="498" w:name="_Toc9022"/>
      <w:r>
        <w:rPr>
          <w:rFonts w:hint="eastAsia" w:ascii="楷体_GB2312" w:hAnsi="楷体" w:eastAsia="楷体_GB2312" w:cs="楷体"/>
          <w:bCs/>
          <w:sz w:val="32"/>
          <w:szCs w:val="32"/>
        </w:rPr>
        <w:t>第四节  深化军民融合发展</w:t>
      </w:r>
      <w:bookmarkEnd w:id="491"/>
      <w:bookmarkEnd w:id="492"/>
      <w:bookmarkEnd w:id="493"/>
      <w:bookmarkEnd w:id="494"/>
      <w:bookmarkEnd w:id="495"/>
      <w:bookmarkEnd w:id="496"/>
      <w:bookmarkEnd w:id="497"/>
      <w:bookmarkEnd w:id="498"/>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加强军民融合战略统筹。</w:t>
      </w:r>
      <w:r>
        <w:rPr>
          <w:rFonts w:hint="eastAsia" w:ascii="仿宋_GB2312" w:hAnsi="仿宋_GB2312" w:eastAsia="仿宋_GB2312" w:cs="宋体"/>
          <w:bCs/>
          <w:kern w:val="0"/>
          <w:sz w:val="32"/>
          <w:szCs w:val="32"/>
        </w:rPr>
        <w:t>完善军民融合发展组织管理体系、工作运行体系、政策制度体系，推进部队建设与定安经济社会发展有机结合，增强军地资源、信息、服务保障等方面共享协作，形成全要素、多领域、高效益的军民深度融合发展格局。健全军地平战指挥系统，完善联合行动协调机制，规范应急处突、防灾抢险等力量建设。</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推进军民融合深度发展。</w:t>
      </w:r>
      <w:r>
        <w:rPr>
          <w:rFonts w:hint="eastAsia" w:ascii="仿宋_GB2312" w:hAnsi="仿宋_GB2312" w:eastAsia="仿宋_GB2312" w:cs="宋体"/>
          <w:bCs/>
          <w:kern w:val="0"/>
          <w:sz w:val="32"/>
          <w:szCs w:val="32"/>
        </w:rPr>
        <w:t>加强军事设施功能保护，完善军地资源共享共建机制，将部队水、电、气、路等配套设施纳入地方总体规划。完善重走“红军路”路线，开展军民文化活动。加快军地人才双向培养交流。</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加强社会优抚安置保障。</w:t>
      </w:r>
      <w:r>
        <w:rPr>
          <w:rFonts w:hint="eastAsia" w:ascii="仿宋_GB2312" w:hAnsi="仿宋_GB2312" w:eastAsia="仿宋_GB2312" w:cs="宋体"/>
          <w:bCs/>
          <w:kern w:val="0"/>
          <w:sz w:val="32"/>
          <w:szCs w:val="32"/>
        </w:rPr>
        <w:t>落实优抚对象慰问抚恤金发放，提高定期抚恤和定期定量补助标准，落实退役军人在公共交通、子女教育、医疗保障等方面优待政策。积极妥善解决好退役军人历史遗留问题。加强党管武装工作，构建大国防教育体系，深化双拥共建。</w:t>
      </w:r>
    </w:p>
    <w:p>
      <w:pPr>
        <w:pStyle w:val="11"/>
        <w:ind w:firstLine="469"/>
        <w:rPr>
          <w:rFonts w:hint="eastAsia"/>
        </w:rPr>
      </w:pPr>
    </w:p>
    <w:tbl>
      <w:tblPr>
        <w:tblStyle w:val="8"/>
        <w:tblW w:w="8520"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0"/>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shd w:val="clear" w:color="auto" w:fill="D8D8D8"/>
            <w:vAlign w:val="top"/>
          </w:tcPr>
          <w:p>
            <w:pPr>
              <w:rPr>
                <w:rFonts w:hint="eastAsia" w:ascii="仿宋_GB2312" w:eastAsia="仿宋_GB2312"/>
                <w:sz w:val="24"/>
              </w:rPr>
            </w:pPr>
            <w:r>
              <w:rPr>
                <w:rFonts w:hint="eastAsia" w:ascii="仿宋_GB2312" w:eastAsia="仿宋_GB2312"/>
                <w:sz w:val="24"/>
              </w:rPr>
              <w:t>专栏15：社会治理重点工程</w:t>
            </w:r>
          </w:p>
        </w:tc>
      </w:tr>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0" w:type="dxa"/>
            <w:vAlign w:val="top"/>
          </w:tcPr>
          <w:p>
            <w:pPr>
              <w:rPr>
                <w:rFonts w:ascii="仿宋_GB2312" w:hAnsi="仿宋_GB2312" w:eastAsia="仿宋_GB2312" w:cs="楷体"/>
                <w:sz w:val="24"/>
              </w:rPr>
            </w:pPr>
            <w:r>
              <w:rPr>
                <w:rFonts w:hint="eastAsia" w:ascii="仿宋_GB2312" w:eastAsia="仿宋_GB2312"/>
                <w:sz w:val="24"/>
              </w:rPr>
              <w:t>1.定安县社会管理信息化平台一期建设项目</w:t>
            </w:r>
          </w:p>
        </w:tc>
      </w:tr>
    </w:tbl>
    <w:p>
      <w:pPr>
        <w:pStyle w:val="12"/>
        <w:spacing w:before="239" w:beforeLines="50" w:after="239" w:afterLines="50" w:line="560" w:lineRule="exact"/>
        <w:jc w:val="center"/>
        <w:outlineLvl w:val="0"/>
        <w:rPr>
          <w:rFonts w:hint="eastAsia" w:ascii="黑体" w:hAnsi="黑体" w:eastAsia="黑体" w:cs="宋体"/>
          <w:bCs/>
          <w:color w:val="auto"/>
          <w:sz w:val="32"/>
          <w:szCs w:val="32"/>
        </w:rPr>
      </w:pPr>
      <w:bookmarkStart w:id="499" w:name="_Toc23887"/>
      <w:bookmarkStart w:id="500" w:name="_Toc12422"/>
      <w:bookmarkStart w:id="501" w:name="_Toc6496"/>
      <w:bookmarkStart w:id="502" w:name="_Toc3182"/>
      <w:bookmarkStart w:id="503" w:name="_Toc4657"/>
      <w:bookmarkStart w:id="504" w:name="_Toc4430"/>
      <w:bookmarkStart w:id="505" w:name="_Toc31955"/>
      <w:bookmarkStart w:id="506" w:name="_Toc30012"/>
      <w:bookmarkStart w:id="507" w:name="_Toc25556"/>
      <w:bookmarkStart w:id="508" w:name="_Toc23996"/>
      <w:bookmarkStart w:id="509" w:name="_Toc28455"/>
    </w:p>
    <w:p>
      <w:pPr>
        <w:pStyle w:val="12"/>
        <w:spacing w:before="239" w:beforeLines="50" w:after="239" w:afterLines="50" w:line="560" w:lineRule="exact"/>
        <w:ind w:left="0" w:leftChars="0" w:firstLine="0" w:firstLineChars="0"/>
        <w:jc w:val="center"/>
        <w:outlineLvl w:val="0"/>
        <w:rPr>
          <w:rFonts w:hint="eastAsia" w:ascii="黑体" w:hAnsi="黑体" w:eastAsia="黑体" w:cs="宋体"/>
          <w:bCs/>
          <w:color w:val="auto"/>
          <w:sz w:val="32"/>
          <w:szCs w:val="32"/>
        </w:rPr>
      </w:pPr>
      <w:r>
        <w:rPr>
          <w:rFonts w:hint="eastAsia" w:ascii="黑体" w:hAnsi="黑体" w:eastAsia="黑体" w:cs="宋体"/>
          <w:bCs/>
          <w:color w:val="auto"/>
          <w:sz w:val="32"/>
          <w:szCs w:val="32"/>
        </w:rPr>
        <w:t>第十二章  加强党的领导</w:t>
      </w:r>
      <w:bookmarkEnd w:id="499"/>
      <w:bookmarkEnd w:id="500"/>
      <w:r>
        <w:rPr>
          <w:rFonts w:hint="eastAsia" w:ascii="黑体" w:hAnsi="黑体" w:eastAsia="黑体" w:cs="宋体"/>
          <w:bCs/>
          <w:color w:val="auto"/>
          <w:sz w:val="32"/>
          <w:szCs w:val="32"/>
        </w:rPr>
        <w:t>，落实全面从严治党</w:t>
      </w:r>
      <w:bookmarkEnd w:id="501"/>
      <w:bookmarkEnd w:id="502"/>
      <w:bookmarkEnd w:id="503"/>
      <w:bookmarkEnd w:id="504"/>
      <w:bookmarkEnd w:id="505"/>
      <w:bookmarkEnd w:id="506"/>
      <w:bookmarkEnd w:id="507"/>
      <w:bookmarkEnd w:id="508"/>
      <w:bookmarkEnd w:id="509"/>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加强党的领导。</w:t>
      </w:r>
      <w:r>
        <w:rPr>
          <w:rFonts w:hint="eastAsia" w:ascii="仿宋_GB2312" w:hAnsi="仿宋_GB2312" w:eastAsia="仿宋_GB2312" w:cs="宋体"/>
          <w:bCs/>
          <w:kern w:val="0"/>
          <w:sz w:val="32"/>
          <w:szCs w:val="32"/>
        </w:rPr>
        <w:t>坚持用习近平新时代中国特色社会主义思想武装党员干部头脑，认真贯彻落实党中央、国务院决策部署，增强“四个意识”，坚定“四个自信”，做到“两个维护”。充分发挥党总揽全局、协调各方的作用，加强党对定安县各领域各方面各环节的领导。以党的政治建设为统领，以提升组织力为重点，全面提高党的建设质量，为定安发展提供坚强政治保障。</w:t>
      </w:r>
    </w:p>
    <w:p>
      <w:pPr>
        <w:spacing w:line="560" w:lineRule="exact"/>
        <w:ind w:firstLine="642" w:firstLineChars="200"/>
        <w:rPr>
          <w:rFonts w:hint="eastAsia" w:ascii="仿宋_GB2312" w:hAnsi="仿宋_GB2312" w:eastAsia="仿宋_GB2312" w:cs="宋体"/>
          <w:b/>
          <w:kern w:val="0"/>
          <w:sz w:val="32"/>
          <w:szCs w:val="32"/>
        </w:rPr>
      </w:pPr>
      <w:r>
        <w:rPr>
          <w:rFonts w:hint="eastAsia" w:ascii="仿宋_GB2312" w:hAnsi="仿宋_GB2312" w:eastAsia="仿宋_GB2312" w:cs="宋体"/>
          <w:b/>
          <w:kern w:val="0"/>
          <w:sz w:val="32"/>
          <w:szCs w:val="32"/>
        </w:rPr>
        <w:t>落实全面从严治党政治责任。</w:t>
      </w:r>
      <w:r>
        <w:rPr>
          <w:rFonts w:hint="eastAsia" w:ascii="仿宋_GB2312" w:hAnsi="仿宋_GB2312" w:eastAsia="仿宋_GB2312" w:cs="宋体"/>
          <w:bCs/>
          <w:kern w:val="0"/>
          <w:sz w:val="32"/>
          <w:szCs w:val="32"/>
        </w:rPr>
        <w:t>强化政治监督，坚持和完善监督体系，深化纪检监察体制改革，协调推进纪律监督、监察监督、派驻监督和巡视监督，以党内监督为主导推动各类监督有机贯通、形成合力，强化对权力运行的制约和监督，严格执行中央八项规定精神，大力纠治“四风”特别是形式主义、官僚主义，切实为基层减负。一体推进不敢腐、不能腐、不想腐，巩固和发展反腐败斗争压倒性胜利。加强思想道德和党纪国法教育，强化党员、干部廉洁从政意识。推行廉政保证金制度。运用监督执纪“四种形态”，以精准有力问责引导、激励、督促党员干部担当作为。</w:t>
      </w:r>
    </w:p>
    <w:p>
      <w:pPr>
        <w:spacing w:line="560" w:lineRule="exact"/>
        <w:ind w:firstLine="642" w:firstLineChars="200"/>
        <w:rPr>
          <w:rFonts w:hint="eastAsia"/>
          <w:sz w:val="32"/>
          <w:szCs w:val="32"/>
        </w:rPr>
      </w:pPr>
      <w:r>
        <w:rPr>
          <w:rFonts w:hint="eastAsia" w:ascii="仿宋_GB2312" w:hAnsi="仿宋_GB2312" w:eastAsia="仿宋_GB2312" w:cs="宋体"/>
          <w:b/>
          <w:kern w:val="0"/>
          <w:sz w:val="32"/>
          <w:szCs w:val="32"/>
        </w:rPr>
        <w:t>加强基层党组织建设。</w:t>
      </w:r>
      <w:r>
        <w:rPr>
          <w:rFonts w:hint="eastAsia" w:ascii="仿宋_GB2312" w:hAnsi="仿宋_GB2312" w:eastAsia="仿宋_GB2312" w:cs="宋体"/>
          <w:bCs/>
          <w:kern w:val="0"/>
          <w:sz w:val="32"/>
          <w:szCs w:val="32"/>
        </w:rPr>
        <w:t>引导广大党员发挥先锋模范作用，把基层党组织建设成为定安发展的坚强战斗堡垒。把社会主义核心价值观融入经济社会发展各方面，持之以恒正风肃纪，强化纪检监察工作，营造风清气正良好环境。</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发挥党的统一战线优势。</w:t>
      </w:r>
      <w:r>
        <w:rPr>
          <w:rFonts w:hint="eastAsia" w:ascii="仿宋_GB2312" w:hAnsi="仿宋_GB2312" w:eastAsia="仿宋_GB2312" w:cs="宋体"/>
          <w:bCs/>
          <w:kern w:val="0"/>
          <w:sz w:val="32"/>
          <w:szCs w:val="32"/>
        </w:rPr>
        <w:t>创新群众工作体制机制，充分发挥人民政协、民主党派、工商联和无党派人士作用，全面落实党的知识分子、民族、宗教、侨务等政策，有效发挥工会、共青团、妇联、机关工委等组织作用，动员广大人民群众积极性。推进民族团结进机关、进企业、进学校、进社区、进乡村、进军营、进宗教活动场所，铸牢中华民族共同体意识。</w:t>
      </w:r>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强化党管宣传、党管意识形态工作。</w:t>
      </w:r>
      <w:r>
        <w:rPr>
          <w:rFonts w:hint="eastAsia" w:ascii="仿宋_GB2312" w:hAnsi="仿宋_GB2312" w:eastAsia="仿宋_GB2312" w:cs="宋体"/>
          <w:bCs/>
          <w:kern w:val="0"/>
          <w:sz w:val="32"/>
          <w:szCs w:val="32"/>
        </w:rPr>
        <w:t>认真贯彻落实党中央和上级关于意识形态工作的部署及指示精神，牢牢把握正确的政治方向，严守政治方向、政治纪律和政治规矩，严守组织纪律和宣传纪律，坚决维护党</w:t>
      </w:r>
      <w:r>
        <w:rPr>
          <w:rFonts w:hint="eastAsia" w:cs="宋体"/>
          <w:bCs/>
          <w:kern w:val="0"/>
          <w:sz w:val="32"/>
          <w:szCs w:val="32"/>
          <w:lang w:eastAsia="zh-CN"/>
        </w:rPr>
        <w:t>中央</w:t>
      </w:r>
      <w:bookmarkStart w:id="541" w:name="_GoBack"/>
      <w:bookmarkEnd w:id="541"/>
      <w:r>
        <w:rPr>
          <w:rFonts w:hint="eastAsia" w:ascii="仿宋_GB2312" w:hAnsi="仿宋_GB2312" w:eastAsia="仿宋_GB2312" w:cs="宋体"/>
          <w:bCs/>
          <w:kern w:val="0"/>
          <w:sz w:val="32"/>
          <w:szCs w:val="32"/>
        </w:rPr>
        <w:t>权威，在思想上、政治上、行动上同党中央保持高度一致。明确县各级领导干部的意识形态工作责任，坚决守好“责任田”。不断改进和加强宣传思想工作，着力加强宣传思想阵地建设与管理，进一步加强思想政治教育队伍建设。高度重视网络安全，进一步提升网络舆论引导水平，严密防范网上意识形态渗透，牢牢把握网络意识形态主导权。</w:t>
      </w:r>
    </w:p>
    <w:p>
      <w:pPr>
        <w:pStyle w:val="12"/>
        <w:spacing w:before="239" w:beforeLines="50" w:after="239" w:afterLines="50" w:line="560" w:lineRule="exact"/>
        <w:ind w:left="0" w:leftChars="0" w:firstLine="0" w:firstLineChars="0"/>
        <w:jc w:val="center"/>
        <w:outlineLvl w:val="0"/>
        <w:rPr>
          <w:rFonts w:ascii="黑体" w:hAnsi="黑体" w:eastAsia="黑体" w:cs="宋体"/>
          <w:bCs/>
          <w:color w:val="auto"/>
          <w:sz w:val="32"/>
          <w:szCs w:val="32"/>
        </w:rPr>
      </w:pPr>
      <w:bookmarkStart w:id="510" w:name="_Toc1382"/>
      <w:bookmarkStart w:id="511" w:name="_Toc5926"/>
      <w:bookmarkStart w:id="512" w:name="_Toc15952"/>
      <w:bookmarkStart w:id="513" w:name="_Toc54189166"/>
      <w:bookmarkStart w:id="514" w:name="_Toc17004"/>
      <w:bookmarkStart w:id="515" w:name="_Toc54189218"/>
      <w:bookmarkStart w:id="516" w:name="_Toc7552"/>
      <w:bookmarkStart w:id="517" w:name="_Toc26641"/>
      <w:bookmarkStart w:id="518" w:name="_Toc800"/>
      <w:bookmarkStart w:id="519" w:name="_Toc28010"/>
      <w:bookmarkStart w:id="520" w:name="_Toc4087"/>
      <w:bookmarkStart w:id="521" w:name="_Toc17793"/>
      <w:bookmarkStart w:id="522" w:name="_Toc13409"/>
      <w:r>
        <w:rPr>
          <w:rFonts w:hint="eastAsia" w:ascii="黑体" w:hAnsi="黑体" w:eastAsia="黑体" w:cs="宋体"/>
          <w:bCs/>
          <w:color w:val="auto"/>
          <w:sz w:val="32"/>
          <w:szCs w:val="32"/>
        </w:rPr>
        <w:t>第十三章  强化规划实施保障</w:t>
      </w:r>
      <w:bookmarkEnd w:id="510"/>
      <w:bookmarkEnd w:id="511"/>
      <w:bookmarkEnd w:id="512"/>
      <w:bookmarkEnd w:id="513"/>
      <w:bookmarkEnd w:id="514"/>
      <w:bookmarkEnd w:id="515"/>
      <w:bookmarkEnd w:id="516"/>
      <w:bookmarkEnd w:id="517"/>
      <w:r>
        <w:rPr>
          <w:rFonts w:hint="eastAsia" w:ascii="黑体" w:hAnsi="黑体" w:eastAsia="黑体" w:cs="宋体"/>
          <w:bCs/>
          <w:color w:val="auto"/>
          <w:sz w:val="32"/>
          <w:szCs w:val="32"/>
        </w:rPr>
        <w:t>，确保规划落实</w:t>
      </w:r>
      <w:bookmarkEnd w:id="518"/>
      <w:bookmarkEnd w:id="519"/>
      <w:bookmarkEnd w:id="520"/>
      <w:bookmarkEnd w:id="521"/>
      <w:bookmarkEnd w:id="522"/>
    </w:p>
    <w:p>
      <w:pPr>
        <w:spacing w:line="560" w:lineRule="exact"/>
        <w:ind w:firstLine="640" w:firstLineChars="200"/>
        <w:rPr>
          <w:rFonts w:hint="eastAsia" w:ascii="仿宋_GB2312" w:hAnsi="仿宋" w:eastAsia="仿宋_GB2312" w:cs="仿宋"/>
          <w:b/>
          <w:bCs/>
          <w:sz w:val="32"/>
          <w:szCs w:val="32"/>
        </w:rPr>
      </w:pPr>
      <w:r>
        <w:rPr>
          <w:rFonts w:hint="eastAsia" w:ascii="仿宋_GB2312" w:hAnsi="仿宋_GB2312" w:eastAsia="仿宋_GB2312" w:cs="宋体"/>
          <w:bCs/>
          <w:kern w:val="0"/>
          <w:sz w:val="32"/>
          <w:szCs w:val="32"/>
        </w:rPr>
        <w:t>打造高素质干部队伍，激励干部担当作为，举全县之力，集全民之智，充分调动最广大人民群众的积极性、主动性和创造性，确保“十四五”规划要求落到实处。</w:t>
      </w:r>
      <w:bookmarkStart w:id="523" w:name="_Toc11364"/>
      <w:bookmarkStart w:id="524" w:name="_Toc9449"/>
      <w:bookmarkStart w:id="525" w:name="_Toc28792"/>
      <w:bookmarkStart w:id="526" w:name="_Toc24692"/>
      <w:bookmarkStart w:id="527" w:name="_Toc54189220"/>
      <w:bookmarkStart w:id="528" w:name="_Toc28110"/>
      <w:bookmarkStart w:id="529" w:name="_Toc20271"/>
      <w:bookmarkStart w:id="530" w:name="_Toc26357"/>
      <w:bookmarkStart w:id="531" w:name="_Toc1972"/>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第一节  深化人才体制机制改革</w:t>
      </w:r>
      <w:bookmarkEnd w:id="523"/>
      <w:bookmarkEnd w:id="524"/>
      <w:bookmarkEnd w:id="525"/>
      <w:bookmarkEnd w:id="526"/>
      <w:bookmarkEnd w:id="527"/>
      <w:bookmarkEnd w:id="528"/>
      <w:bookmarkEnd w:id="529"/>
      <w:bookmarkEnd w:id="530"/>
      <w:bookmarkEnd w:id="531"/>
    </w:p>
    <w:p>
      <w:pPr>
        <w:spacing w:line="560" w:lineRule="exact"/>
        <w:ind w:firstLine="642" w:firstLineChars="200"/>
        <w:rPr>
          <w:rFonts w:hint="eastAsia" w:ascii="仿宋_GB2312" w:hAnsi="仿宋_GB2312" w:eastAsia="仿宋_GB2312" w:cs="宋体"/>
          <w:bCs/>
          <w:kern w:val="0"/>
          <w:sz w:val="32"/>
          <w:szCs w:val="32"/>
        </w:rPr>
      </w:pPr>
      <w:r>
        <w:rPr>
          <w:rFonts w:hint="eastAsia" w:ascii="仿宋_GB2312" w:hAnsi="仿宋_GB2312" w:eastAsia="仿宋_GB2312" w:cs="宋体"/>
          <w:b/>
          <w:kern w:val="0"/>
          <w:sz w:val="32"/>
          <w:szCs w:val="32"/>
        </w:rPr>
        <w:t>深入实施人才强县战略。</w:t>
      </w:r>
      <w:r>
        <w:rPr>
          <w:rFonts w:hint="eastAsia" w:ascii="仿宋_GB2312" w:hAnsi="仿宋_GB2312" w:eastAsia="仿宋_GB2312" w:cs="宋体"/>
          <w:bCs/>
          <w:kern w:val="0"/>
          <w:sz w:val="32"/>
          <w:szCs w:val="32"/>
        </w:rPr>
        <w:t>通过实施落户自由、提高安居保障，支持自主创业等方式，吸引更多高校毕业生在海南定安就业创业。建设人才服务“单一窗口”，为人才在定安创业就业提供便利化服务，完善高层次人才引进个性化服务。实施外国人来琼工作许可负面清单管理制度，落实国际人才服务管理改革要求，针对外籍“高精尖缺”人才，提供快捷便利的人才服务保障。落实职称制度和职业资格制度改革要求，激励技术技能人才发展。逐步完善人才评价激励机制。采取优惠政策推动人才向基层、艰苦边远地区流动。</w:t>
      </w:r>
    </w:p>
    <w:p>
      <w:pPr>
        <w:spacing w:line="560" w:lineRule="exact"/>
        <w:ind w:firstLine="642" w:firstLineChars="200"/>
        <w:rPr>
          <w:rFonts w:hint="eastAsia" w:ascii="楷体" w:hAnsi="楷体" w:eastAsia="楷体" w:cs="楷体"/>
          <w:b/>
          <w:bCs/>
          <w:sz w:val="32"/>
          <w:szCs w:val="32"/>
        </w:rPr>
      </w:pPr>
      <w:r>
        <w:rPr>
          <w:rFonts w:hint="eastAsia" w:ascii="仿宋_GB2312" w:hAnsi="仿宋_GB2312" w:eastAsia="仿宋_GB2312" w:cs="宋体"/>
          <w:b/>
          <w:kern w:val="0"/>
          <w:sz w:val="32"/>
          <w:szCs w:val="32"/>
        </w:rPr>
        <w:t>建立高素质专业化干部队伍。</w:t>
      </w:r>
      <w:r>
        <w:rPr>
          <w:rFonts w:hint="eastAsia" w:ascii="仿宋_GB2312" w:hAnsi="仿宋_GB2312" w:eastAsia="仿宋_GB2312" w:cs="宋体"/>
          <w:bCs/>
          <w:kern w:val="0"/>
          <w:sz w:val="32"/>
          <w:szCs w:val="32"/>
        </w:rPr>
        <w:t>坚持党管干部的原则，坚持事业为上、选贤任能，突出政治标准，敢担当善作为，在实践中认识好干部、培养好干部，用好好干部，选好配强各级党组织班子，把制度执行力和治理能力作为干部选拔任用、考核评价的重要依据，完善体现新发展理念和正确政绩观要求的干部考核评价体系，建立激励机制和容错纠错机制，全面落实“三个区分开来”，旗帜鲜明地敢于担当、敢于突破、敢于创新的干部撑腰鼓劲。选准配强农村党支部书记和“村两委”班子，提升融入海南自由贸易港建设的能力水平，高标准选派驻村第一书记，建立健全农村基层干部待遇补助稳定增长机制，强化干部教育培训，推动干部双向挂职常态化，鼓励干部到基层一线，困难地区历练，增强“八种本领”，锤炼党员干部的政治品格。</w:t>
      </w:r>
      <w:bookmarkStart w:id="532" w:name="_Toc28736"/>
      <w:bookmarkStart w:id="533" w:name="_Toc2856"/>
      <w:bookmarkStart w:id="534" w:name="_Toc24209"/>
      <w:bookmarkStart w:id="535" w:name="_Toc29265"/>
      <w:bookmarkStart w:id="536" w:name="_Toc24643"/>
      <w:bookmarkStart w:id="537" w:name="_Toc54189221"/>
      <w:bookmarkStart w:id="538" w:name="_Toc6311"/>
      <w:bookmarkStart w:id="539" w:name="_Toc30306"/>
      <w:bookmarkStart w:id="540" w:name="_Toc29169"/>
    </w:p>
    <w:p>
      <w:pPr>
        <w:spacing w:before="239" w:beforeLines="50" w:after="239" w:afterLines="50" w:line="560" w:lineRule="exact"/>
        <w:ind w:left="0" w:leftChars="0" w:firstLine="0" w:firstLineChars="0"/>
        <w:jc w:val="center"/>
        <w:outlineLvl w:val="1"/>
        <w:rPr>
          <w:rFonts w:hint="eastAsia" w:ascii="楷体_GB2312" w:hAnsi="楷体" w:eastAsia="楷体_GB2312" w:cs="楷体"/>
          <w:bCs/>
          <w:sz w:val="32"/>
          <w:szCs w:val="32"/>
        </w:rPr>
      </w:pPr>
      <w:r>
        <w:rPr>
          <w:rFonts w:hint="eastAsia" w:ascii="楷体_GB2312" w:hAnsi="楷体" w:eastAsia="楷体_GB2312" w:cs="楷体"/>
          <w:bCs/>
          <w:sz w:val="32"/>
          <w:szCs w:val="32"/>
        </w:rPr>
        <w:t>第二节  保障规划目标任务落实</w:t>
      </w:r>
      <w:bookmarkEnd w:id="532"/>
      <w:bookmarkEnd w:id="533"/>
      <w:bookmarkEnd w:id="534"/>
      <w:bookmarkEnd w:id="535"/>
      <w:bookmarkEnd w:id="536"/>
      <w:bookmarkEnd w:id="537"/>
      <w:bookmarkEnd w:id="538"/>
      <w:bookmarkEnd w:id="539"/>
      <w:bookmarkEnd w:id="540"/>
    </w:p>
    <w:p>
      <w:pPr>
        <w:spacing w:line="560" w:lineRule="exact"/>
        <w:ind w:firstLine="641"/>
        <w:rPr>
          <w:rFonts w:hint="eastAsia" w:ascii="仿宋_GB2312" w:hAnsi="宋体" w:eastAsia="仿宋_GB2312" w:cs="仿宋GB2312"/>
          <w:b/>
          <w:sz w:val="32"/>
          <w:szCs w:val="32"/>
        </w:rPr>
      </w:pPr>
      <w:r>
        <w:rPr>
          <w:rFonts w:hint="eastAsia" w:ascii="仿宋_GB2312" w:hAnsi="宋体" w:eastAsia="仿宋_GB2312" w:cs="仿宋GB2312"/>
          <w:b/>
          <w:sz w:val="32"/>
          <w:szCs w:val="32"/>
        </w:rPr>
        <w:t>明确规划纲领作用。</w:t>
      </w:r>
      <w:r>
        <w:rPr>
          <w:rFonts w:hint="eastAsia" w:ascii="仿宋_GB2312" w:hAnsi="宋体" w:eastAsia="仿宋_GB2312" w:cs="仿宋GB2312"/>
          <w:sz w:val="32"/>
          <w:szCs w:val="32"/>
        </w:rPr>
        <w:t>规划纲要是未来五年全县经济社会发展的总纲领，</w:t>
      </w:r>
      <w:r>
        <w:rPr>
          <w:rFonts w:hint="eastAsia" w:ascii="仿宋_GB2312" w:hAnsi="仿宋" w:eastAsia="仿宋_GB2312"/>
          <w:sz w:val="32"/>
          <w:szCs w:val="32"/>
        </w:rPr>
        <w:t>坚持依法编制、依法实施，不应随意修改、变更，强化规划纲要对专项规划的统筹指导，维护规划的权威性、严肃性、稳定性。各级各类政府机构应履职尽责，按照国家、海南省有关规划编制管理的要求，加强组织保障与统筹协调，明确责任落实，确保规划严格执行，切实发挥规划对全县社会经济发展的纲领性作用。</w:t>
      </w:r>
    </w:p>
    <w:p>
      <w:pPr>
        <w:spacing w:line="560" w:lineRule="exact"/>
        <w:ind w:firstLine="642" w:firstLineChars="200"/>
        <w:rPr>
          <w:rFonts w:hint="eastAsia" w:ascii="仿宋_GB2312" w:hAnsi="宋体" w:eastAsia="仿宋_GB2312" w:cs="仿宋GB2312"/>
          <w:sz w:val="32"/>
          <w:szCs w:val="32"/>
        </w:rPr>
      </w:pPr>
      <w:r>
        <w:rPr>
          <w:rFonts w:hint="eastAsia" w:ascii="仿宋_GB2312" w:hAnsi="宋体" w:eastAsia="仿宋_GB2312" w:cs="仿宋GB2312"/>
          <w:b/>
          <w:sz w:val="32"/>
          <w:szCs w:val="32"/>
        </w:rPr>
        <w:t>建立健全规划体系。</w:t>
      </w:r>
      <w:r>
        <w:rPr>
          <w:rFonts w:hint="eastAsia" w:ascii="仿宋_GB2312" w:hAnsi="宋体" w:eastAsia="仿宋_GB2312" w:cs="仿宋GB2312"/>
          <w:sz w:val="32"/>
          <w:szCs w:val="32"/>
        </w:rPr>
        <w:t>各级政府部门从实际出发，贯彻落实好规划，尤其在重大产业布局、重点项目安排、基础设施建设上，确保与规划相吻合。县有关部门要依据本纲要进一步做深、做细、做实专项规划，切实落实各项约束性指标，积极落实各预期指标，明确各领域重点任务和措施，充分体现可操作性，确保专项规划在本纲要指导下，努力实现总体目标一致，时序安排统一，不断提高规划管理和实施成效。</w:t>
      </w:r>
    </w:p>
    <w:p>
      <w:pPr>
        <w:spacing w:line="560" w:lineRule="exact"/>
        <w:ind w:firstLine="642" w:firstLineChars="200"/>
        <w:rPr>
          <w:rFonts w:hint="eastAsia" w:ascii="仿宋_GB2312" w:hAnsi="宋体" w:eastAsia="仿宋_GB2312" w:cs="仿宋GB2312"/>
          <w:sz w:val="32"/>
          <w:szCs w:val="32"/>
        </w:rPr>
      </w:pPr>
      <w:r>
        <w:rPr>
          <w:rFonts w:hint="eastAsia" w:ascii="仿宋_GB2312" w:hAnsi="仿宋_GB2312" w:eastAsia="仿宋_GB2312" w:cs="宋体"/>
          <w:b/>
          <w:kern w:val="0"/>
          <w:sz w:val="32"/>
          <w:szCs w:val="32"/>
        </w:rPr>
        <w:t>强化规划组织落实。</w:t>
      </w:r>
      <w:r>
        <w:rPr>
          <w:rFonts w:hint="eastAsia" w:ascii="仿宋_GB2312" w:hAnsi="宋体" w:eastAsia="仿宋_GB2312" w:cs="仿宋GB2312"/>
          <w:sz w:val="32"/>
          <w:szCs w:val="32"/>
        </w:rPr>
        <w:t>县直各部门要将规划纲要确定的相关任务纳入本部门年度计划，明确责任人和进度要求，并及时将进展情况向县政府报告。各镇（场）、各部门要根据规划内容逐项落实、建立分工责任制，分解任务，明确责任。县政府将重要预期目标、重点工作、重点项目分解落实到县各有关部门和镇（场），定期检查，强化落实。特别是事关经济社会发展全局的重要基础设施、社会事业和事关人民群众切身利益的民生项目，县政府在制定年度计划和财政预算时，要落实建设资金，纳入财政预算，组织推动实施。</w:t>
      </w:r>
    </w:p>
    <w:p>
      <w:pPr>
        <w:spacing w:line="560" w:lineRule="exact"/>
        <w:ind w:firstLine="642" w:firstLineChars="200"/>
        <w:rPr>
          <w:rFonts w:hint="eastAsia" w:ascii="仿宋_GB2312" w:hAnsi="宋体" w:eastAsia="仿宋_GB2312" w:cs="仿宋GB2312"/>
          <w:sz w:val="32"/>
          <w:szCs w:val="32"/>
        </w:rPr>
      </w:pPr>
      <w:r>
        <w:rPr>
          <w:rFonts w:hint="eastAsia" w:ascii="仿宋_GB2312" w:hAnsi="仿宋_GB2312" w:eastAsia="仿宋_GB2312" w:cs="宋体"/>
          <w:b/>
          <w:kern w:val="0"/>
          <w:sz w:val="32"/>
          <w:szCs w:val="32"/>
        </w:rPr>
        <w:t>有序推进重点项目。</w:t>
      </w:r>
      <w:r>
        <w:rPr>
          <w:rFonts w:hint="eastAsia" w:ascii="仿宋_GB2312" w:hAnsi="宋体" w:eastAsia="仿宋_GB2312" w:cs="仿宋GB2312"/>
          <w:sz w:val="32"/>
          <w:szCs w:val="32"/>
        </w:rPr>
        <w:t>结合产业发展和城市建设，明确重点项目清单、项目建设时序。在产业引导基金的设立、用地等要素保障支持政策等方面给予支持，优化招商机制、流程、服务意识，探索更加灵活的招商模式和项目合作方式，</w:t>
      </w:r>
      <w:r>
        <w:rPr>
          <w:rFonts w:hint="eastAsia" w:ascii="仿宋_GB2312" w:hAnsi="仿宋" w:eastAsia="仿宋_GB2312"/>
          <w:sz w:val="32"/>
          <w:szCs w:val="32"/>
        </w:rPr>
        <w:t>建立重点项目审批“绿色通道”，打通从项目接洽、审核批准、开工建设到运营管理全过程的“一站式”服务链。</w:t>
      </w:r>
    </w:p>
    <w:p>
      <w:pPr>
        <w:pStyle w:val="2"/>
      </w:pPr>
      <w:r>
        <w:rPr>
          <w:rFonts w:hint="eastAsia" w:ascii="仿宋_GB2312" w:hAnsi="仿宋_GB2312" w:eastAsia="仿宋_GB2312" w:cs="宋体"/>
          <w:b/>
          <w:kern w:val="0"/>
          <w:sz w:val="32"/>
          <w:szCs w:val="32"/>
        </w:rPr>
        <w:t>科学开展监督考核。</w:t>
      </w:r>
      <w:r>
        <w:rPr>
          <w:rFonts w:hint="eastAsia" w:ascii="仿宋_GB2312" w:hAnsi="仿宋" w:eastAsia="仿宋_GB2312"/>
          <w:sz w:val="32"/>
          <w:szCs w:val="32"/>
        </w:rPr>
        <w:t>坚持人大依法监督、政协民主监督，推进规划实施信息公开。强化对规划实施情况的科学评估和跟踪分析，对约束性指标和主要预期性指标完成情况进行逐年评估。把监测评估结果作为改进政府工作和绩效考核的重要依据。创新评估方式，引入第三方评估机构参与评估，增强规划评估的客观性和准确性。</w:t>
      </w:r>
    </w:p>
    <w:sectPr>
      <w:pgSz w:w="11850" w:h="16783"/>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Ubuntu Light"/>
    <w:panose1 w:val="020B0604030504040204"/>
    <w:charset w:val="00"/>
    <w:family w:val="decorative"/>
    <w:pitch w:val="default"/>
    <w:sig w:usb0="00000000" w:usb1="00000000"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GB_2312">
    <w:altName w:val="仿宋"/>
    <w:panose1 w:val="00000000000000000000"/>
    <w:charset w:val="00"/>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B30"/>
    <w:multiLevelType w:val="singleLevel"/>
    <w:tmpl w:val="91B55B30"/>
    <w:lvl w:ilvl="0" w:tentative="0">
      <w:start w:val="1"/>
      <w:numFmt w:val="decimal"/>
      <w:lvlText w:val="%1."/>
      <w:lvlJc w:val="left"/>
      <w:pPr>
        <w:ind w:left="425" w:hanging="425"/>
      </w:pPr>
      <w:rPr>
        <w:rFonts w:hint="default"/>
      </w:rPr>
    </w:lvl>
  </w:abstractNum>
  <w:abstractNum w:abstractNumId="1">
    <w:nsid w:val="A02DE646"/>
    <w:multiLevelType w:val="singleLevel"/>
    <w:tmpl w:val="A02DE646"/>
    <w:lvl w:ilvl="0" w:tentative="0">
      <w:start w:val="1"/>
      <w:numFmt w:val="decimal"/>
      <w:lvlText w:val="%1."/>
      <w:lvlJc w:val="left"/>
      <w:pPr>
        <w:ind w:left="425" w:hanging="425"/>
      </w:pPr>
      <w:rPr>
        <w:rFonts w:hint="default"/>
      </w:rPr>
    </w:lvl>
  </w:abstractNum>
  <w:abstractNum w:abstractNumId="2">
    <w:nsid w:val="A337F56E"/>
    <w:multiLevelType w:val="singleLevel"/>
    <w:tmpl w:val="A337F56E"/>
    <w:lvl w:ilvl="0" w:tentative="0">
      <w:start w:val="1"/>
      <w:numFmt w:val="decimal"/>
      <w:lvlText w:val="%1."/>
      <w:lvlJc w:val="left"/>
      <w:pPr>
        <w:ind w:left="425" w:hanging="425"/>
      </w:pPr>
      <w:rPr>
        <w:rFonts w:hint="default"/>
      </w:rPr>
    </w:lvl>
  </w:abstractNum>
  <w:abstractNum w:abstractNumId="3">
    <w:nsid w:val="ADB29D9A"/>
    <w:multiLevelType w:val="singleLevel"/>
    <w:tmpl w:val="ADB29D9A"/>
    <w:lvl w:ilvl="0" w:tentative="0">
      <w:start w:val="1"/>
      <w:numFmt w:val="decimal"/>
      <w:suff w:val="nothing"/>
      <w:lvlText w:val="%1．"/>
      <w:lvlJc w:val="left"/>
      <w:pPr>
        <w:ind w:left="0" w:firstLine="400"/>
      </w:pPr>
      <w:rPr>
        <w:rFonts w:hint="default"/>
      </w:rPr>
    </w:lvl>
  </w:abstractNum>
  <w:abstractNum w:abstractNumId="4">
    <w:nsid w:val="CC4D287A"/>
    <w:multiLevelType w:val="singleLevel"/>
    <w:tmpl w:val="CC4D287A"/>
    <w:lvl w:ilvl="0" w:tentative="0">
      <w:start w:val="1"/>
      <w:numFmt w:val="decimal"/>
      <w:lvlText w:val="%1."/>
      <w:lvlJc w:val="left"/>
      <w:pPr>
        <w:ind w:left="425" w:hanging="425"/>
      </w:pPr>
      <w:rPr>
        <w:rFonts w:hint="default"/>
      </w:rPr>
    </w:lvl>
  </w:abstractNum>
  <w:abstractNum w:abstractNumId="5">
    <w:nsid w:val="D792E0B9"/>
    <w:multiLevelType w:val="singleLevel"/>
    <w:tmpl w:val="D792E0B9"/>
    <w:lvl w:ilvl="0" w:tentative="0">
      <w:start w:val="1"/>
      <w:numFmt w:val="decimal"/>
      <w:lvlText w:val="%1."/>
      <w:lvlJc w:val="left"/>
      <w:pPr>
        <w:ind w:left="425" w:hanging="425"/>
      </w:pPr>
      <w:rPr>
        <w:rFonts w:hint="default"/>
      </w:rPr>
    </w:lvl>
  </w:abstractNum>
  <w:abstractNum w:abstractNumId="6">
    <w:nsid w:val="E34F0704"/>
    <w:multiLevelType w:val="singleLevel"/>
    <w:tmpl w:val="E34F0704"/>
    <w:lvl w:ilvl="0" w:tentative="0">
      <w:start w:val="1"/>
      <w:numFmt w:val="decimal"/>
      <w:lvlText w:val="%1."/>
      <w:lvlJc w:val="left"/>
      <w:pPr>
        <w:ind w:left="425" w:hanging="425"/>
      </w:pPr>
      <w:rPr>
        <w:rFonts w:hint="default"/>
      </w:rPr>
    </w:lvl>
  </w:abstractNum>
  <w:abstractNum w:abstractNumId="7">
    <w:nsid w:val="E97F4292"/>
    <w:multiLevelType w:val="singleLevel"/>
    <w:tmpl w:val="E97F4292"/>
    <w:lvl w:ilvl="0" w:tentative="0">
      <w:start w:val="1"/>
      <w:numFmt w:val="decimal"/>
      <w:lvlText w:val="%1."/>
      <w:lvlJc w:val="left"/>
      <w:pPr>
        <w:ind w:left="425" w:hanging="425"/>
      </w:pPr>
      <w:rPr>
        <w:rFonts w:hint="default"/>
      </w:rPr>
    </w:lvl>
  </w:abstractNum>
  <w:abstractNum w:abstractNumId="8">
    <w:nsid w:val="FD18FC75"/>
    <w:multiLevelType w:val="singleLevel"/>
    <w:tmpl w:val="FD18FC75"/>
    <w:lvl w:ilvl="0" w:tentative="0">
      <w:start w:val="1"/>
      <w:numFmt w:val="decimal"/>
      <w:lvlText w:val="%1."/>
      <w:lvlJc w:val="left"/>
      <w:pPr>
        <w:ind w:left="425" w:hanging="425"/>
      </w:pPr>
      <w:rPr>
        <w:rFonts w:hint="default"/>
      </w:rPr>
    </w:lvl>
  </w:abstractNum>
  <w:abstractNum w:abstractNumId="9">
    <w:nsid w:val="1248DAA8"/>
    <w:multiLevelType w:val="singleLevel"/>
    <w:tmpl w:val="1248DAA8"/>
    <w:lvl w:ilvl="0" w:tentative="0">
      <w:start w:val="1"/>
      <w:numFmt w:val="decimal"/>
      <w:lvlText w:val="%1."/>
      <w:lvlJc w:val="left"/>
      <w:pPr>
        <w:ind w:left="425" w:hanging="425"/>
      </w:pPr>
      <w:rPr>
        <w:rFonts w:hint="default"/>
      </w:rPr>
    </w:lvl>
  </w:abstractNum>
  <w:abstractNum w:abstractNumId="10">
    <w:nsid w:val="295255EE"/>
    <w:multiLevelType w:val="singleLevel"/>
    <w:tmpl w:val="295255EE"/>
    <w:lvl w:ilvl="0" w:tentative="0">
      <w:start w:val="1"/>
      <w:numFmt w:val="decimal"/>
      <w:lvlText w:val="%1."/>
      <w:lvlJc w:val="left"/>
      <w:pPr>
        <w:ind w:left="425" w:hanging="425"/>
      </w:pPr>
      <w:rPr>
        <w:rFonts w:hint="default"/>
      </w:rPr>
    </w:lvl>
  </w:abstractNum>
  <w:abstractNum w:abstractNumId="11">
    <w:nsid w:val="356FAF62"/>
    <w:multiLevelType w:val="singleLevel"/>
    <w:tmpl w:val="356FAF62"/>
    <w:lvl w:ilvl="0" w:tentative="0">
      <w:start w:val="1"/>
      <w:numFmt w:val="decimal"/>
      <w:lvlText w:val="%1."/>
      <w:lvlJc w:val="left"/>
      <w:pPr>
        <w:ind w:left="425" w:hanging="425"/>
      </w:pPr>
      <w:rPr>
        <w:rFonts w:hint="default"/>
      </w:rPr>
    </w:lvl>
  </w:abstractNum>
  <w:abstractNum w:abstractNumId="12">
    <w:nsid w:val="46AC8620"/>
    <w:multiLevelType w:val="singleLevel"/>
    <w:tmpl w:val="46AC8620"/>
    <w:lvl w:ilvl="0" w:tentative="0">
      <w:start w:val="1"/>
      <w:numFmt w:val="decimal"/>
      <w:lvlText w:val="%1."/>
      <w:lvlJc w:val="left"/>
      <w:pPr>
        <w:ind w:left="425" w:hanging="425"/>
      </w:pPr>
      <w:rPr>
        <w:rFonts w:hint="default"/>
      </w:rPr>
    </w:lvl>
  </w:abstractNum>
  <w:abstractNum w:abstractNumId="13">
    <w:nsid w:val="7D496F0E"/>
    <w:multiLevelType w:val="singleLevel"/>
    <w:tmpl w:val="7D496F0E"/>
    <w:lvl w:ilvl="0" w:tentative="0">
      <w:start w:val="1"/>
      <w:numFmt w:val="decimal"/>
      <w:lvlText w:val="%1."/>
      <w:lvlJc w:val="left"/>
      <w:pPr>
        <w:ind w:left="425" w:hanging="425"/>
      </w:pPr>
      <w:rPr>
        <w:rFonts w:hint="default"/>
      </w:rPr>
    </w:lvl>
  </w:abstractNum>
  <w:num w:numId="1">
    <w:abstractNumId w:val="9"/>
  </w:num>
  <w:num w:numId="2">
    <w:abstractNumId w:val="13"/>
  </w:num>
  <w:num w:numId="3">
    <w:abstractNumId w:val="1"/>
  </w:num>
  <w:num w:numId="4">
    <w:abstractNumId w:val="2"/>
  </w:num>
  <w:num w:numId="5">
    <w:abstractNumId w:val="12"/>
  </w:num>
  <w:num w:numId="6">
    <w:abstractNumId w:val="6"/>
  </w:num>
  <w:num w:numId="7">
    <w:abstractNumId w:val="5"/>
  </w:num>
  <w:num w:numId="8">
    <w:abstractNumId w:val="8"/>
  </w:num>
  <w:num w:numId="9">
    <w:abstractNumId w:val="0"/>
  </w:num>
  <w:num w:numId="10">
    <w:abstractNumId w:val="10"/>
  </w:num>
  <w:num w:numId="11">
    <w:abstractNumId w:val="4"/>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E0C3B"/>
    <w:rsid w:val="049939D9"/>
    <w:rsid w:val="10A917CF"/>
    <w:rsid w:val="12D92377"/>
    <w:rsid w:val="138E32CF"/>
    <w:rsid w:val="23FB1821"/>
    <w:rsid w:val="2671641F"/>
    <w:rsid w:val="273A7DAB"/>
    <w:rsid w:val="28B8627B"/>
    <w:rsid w:val="2BB77970"/>
    <w:rsid w:val="2E5F40D4"/>
    <w:rsid w:val="30AE0C3B"/>
    <w:rsid w:val="318269DF"/>
    <w:rsid w:val="42EF5C16"/>
    <w:rsid w:val="4A703444"/>
    <w:rsid w:val="4A8071A2"/>
    <w:rsid w:val="587E21A4"/>
    <w:rsid w:val="5EAA4CEB"/>
    <w:rsid w:val="632B6DBE"/>
    <w:rsid w:val="646A29ED"/>
    <w:rsid w:val="674C549D"/>
    <w:rsid w:val="6D4C239C"/>
    <w:rsid w:val="7D090853"/>
    <w:rsid w:val="7FCB2E36"/>
    <w:rsid w:val="BEEAE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heme="minorBidi"/>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ascii="黑体" w:hAnsi="黑体" w:eastAsia="黑体"/>
      <w:kern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楷体_GB2312" w:hAnsi="楷体_GB2312" w:eastAsia="楷体_GB2312"/>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b/>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7">
    <w:name w:val="Date"/>
    <w:basedOn w:val="1"/>
    <w:next w:val="1"/>
    <w:qFormat/>
    <w:uiPriority w:val="0"/>
    <w:pPr>
      <w:ind w:left="100" w:leftChars="2500"/>
    </w:pPr>
    <w:rPr>
      <w:rFonts w:ascii="仿宋_GB2312" w:eastAsia="仿宋_GB2312"/>
      <w:sz w:val="32"/>
    </w:rPr>
  </w:style>
  <w:style w:type="paragraph" w:customStyle="1" w:styleId="10">
    <w:name w:val="大标题"/>
    <w:next w:val="1"/>
    <w:qFormat/>
    <w:uiPriority w:val="0"/>
    <w:pPr>
      <w:spacing w:line="560" w:lineRule="exact"/>
      <w:jc w:val="center"/>
    </w:pPr>
    <w:rPr>
      <w:rFonts w:ascii="方正小标宋简体" w:hAnsi="方正小标宋简体" w:eastAsia="方正小标宋简体" w:cstheme="minorBidi"/>
      <w:sz w:val="44"/>
    </w:rPr>
  </w:style>
  <w:style w:type="paragraph" w:customStyle="1" w:styleId="11">
    <w:name w:val="海南化工城正文"/>
    <w:basedOn w:val="1"/>
    <w:qFormat/>
    <w:uiPriority w:val="0"/>
    <w:pPr>
      <w:spacing w:line="324" w:lineRule="auto"/>
      <w:ind w:firstLine="480" w:firstLineChars="200"/>
    </w:pPr>
    <w:rPr>
      <w:rFonts w:ascii="宋体" w:hAnsi="宋体" w:cs="宋体"/>
      <w:sz w:val="24"/>
    </w:rPr>
  </w:style>
  <w:style w:type="paragraph" w:customStyle="1" w:styleId="12">
    <w:name w:val="Default"/>
    <w:basedOn w:val="1"/>
    <w:qFormat/>
    <w:uiPriority w:val="0"/>
    <w:pPr>
      <w:autoSpaceDE w:val="0"/>
      <w:autoSpaceDN w:val="0"/>
      <w:adjustRightInd w:val="0"/>
      <w:jc w:val="left"/>
    </w:pPr>
    <w:rPr>
      <w:rFonts w:ascii="宋体" w:hAnsi="Calibri"/>
      <w:color w:val="000000"/>
      <w:kern w:val="0"/>
      <w:sz w:val="24"/>
    </w:rPr>
  </w:style>
  <w:style w:type="paragraph" w:customStyle="1" w:styleId="13">
    <w:name w:val="正文1"/>
    <w:basedOn w:val="1"/>
    <w:qFormat/>
    <w:uiPriority w:val="0"/>
    <w:pPr>
      <w:widowControl/>
    </w:pPr>
    <w:rPr>
      <w:szCs w:val="21"/>
    </w:rPr>
  </w:style>
  <w:style w:type="character" w:customStyle="1" w:styleId="14">
    <w:name w:val="font101"/>
    <w:basedOn w:val="9"/>
    <w:qFormat/>
    <w:uiPriority w:val="0"/>
    <w:rPr>
      <w:rFonts w:hint="default" w:ascii="仿宋_GB2312" w:hAnsi="Verdana" w:eastAsia="仿宋_GB2312" w:cs="仿宋_GB2312"/>
      <w:color w:val="000000"/>
      <w:kern w:val="0"/>
      <w:sz w:val="21"/>
      <w:szCs w:val="21"/>
      <w:u w:val="none"/>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2021-08-31T21:28:00Z</dcterms:created>
  <dc:creator>黎雪梅</dc:creator>
  <cp:lastModifiedBy>greatwall</cp:lastModifiedBy>
  <dcterms:modified xsi:type="dcterms:W3CDTF">2023-03-01T17:35:10Z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