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A7B5A">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center"/>
        <w:rPr>
          <w:rStyle w:val="8"/>
          <w:rFonts w:hint="eastAsia" w:ascii="方正小标宋简体" w:hAnsi="方正小标宋简体" w:eastAsia="方正小标宋简体" w:cs="方正小标宋简体"/>
          <w:b w:val="0"/>
          <w:bCs/>
          <w:i w:val="0"/>
          <w:iCs w:val="0"/>
          <w:caps w:val="0"/>
          <w:color w:val="303133"/>
          <w:spacing w:val="0"/>
          <w:sz w:val="44"/>
          <w:szCs w:val="44"/>
          <w:shd w:val="clear" w:fill="FFFFFF"/>
          <w:lang w:val="en-US" w:eastAsia="zh-CN"/>
        </w:rPr>
      </w:pPr>
      <w:r>
        <w:rPr>
          <w:rStyle w:val="8"/>
          <w:rFonts w:hint="eastAsia" w:ascii="方正小标宋简体" w:hAnsi="方正小标宋简体" w:eastAsia="方正小标宋简体" w:cs="方正小标宋简体"/>
          <w:b w:val="0"/>
          <w:bCs/>
          <w:i w:val="0"/>
          <w:iCs w:val="0"/>
          <w:caps w:val="0"/>
          <w:color w:val="303133"/>
          <w:spacing w:val="0"/>
          <w:sz w:val="44"/>
          <w:szCs w:val="44"/>
          <w:shd w:val="clear" w:fill="FFFFFF"/>
          <w:lang w:val="en-US" w:eastAsia="zh-CN"/>
        </w:rPr>
        <w:t>定安县关于组织申报2024年度支持工业经济和科技创新发展奖励资金的通知</w:t>
      </w:r>
    </w:p>
    <w:p w14:paraId="7A0F595A">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p>
    <w:p w14:paraId="77372186">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根据《定安县支持工业经济和科技创新发展若干奖励办法》等文件规定，经研究决定开展科技创新若干奖励政策申报工作，现将有关事项通知如下：</w:t>
      </w:r>
    </w:p>
    <w:p w14:paraId="5201CC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580" w:lineRule="exact"/>
        <w:ind w:right="0" w:firstLine="640" w:firstLineChars="200"/>
        <w:jc w:val="both"/>
        <w:textAlignment w:val="auto"/>
        <w:rPr>
          <w:rStyle w:val="8"/>
          <w:rFonts w:hint="eastAsia" w:ascii="黑体" w:hAnsi="黑体" w:eastAsia="黑体" w:cs="黑体"/>
          <w:b w:val="0"/>
          <w:bCs w:val="0"/>
          <w:i w:val="0"/>
          <w:iCs w:val="0"/>
          <w:caps w:val="0"/>
          <w:color w:val="333333"/>
          <w:spacing w:val="0"/>
          <w:sz w:val="32"/>
          <w:szCs w:val="32"/>
          <w:shd w:val="clear" w:fill="FFFFFF"/>
          <w:lang w:eastAsia="zh-CN"/>
        </w:rPr>
      </w:pPr>
      <w:r>
        <w:rPr>
          <w:rStyle w:val="8"/>
          <w:rFonts w:hint="eastAsia" w:ascii="黑体" w:hAnsi="黑体" w:eastAsia="黑体" w:cs="黑体"/>
          <w:b w:val="0"/>
          <w:bCs w:val="0"/>
          <w:i w:val="0"/>
          <w:iCs w:val="0"/>
          <w:caps w:val="0"/>
          <w:color w:val="333333"/>
          <w:spacing w:val="0"/>
          <w:sz w:val="32"/>
          <w:szCs w:val="32"/>
          <w:shd w:val="clear" w:fill="FFFFFF"/>
        </w:rPr>
        <w:t>一、</w:t>
      </w:r>
      <w:r>
        <w:rPr>
          <w:rStyle w:val="8"/>
          <w:rFonts w:hint="eastAsia" w:ascii="黑体" w:hAnsi="黑体" w:eastAsia="黑体" w:cs="黑体"/>
          <w:b w:val="0"/>
          <w:bCs w:val="0"/>
          <w:i w:val="0"/>
          <w:iCs w:val="0"/>
          <w:caps w:val="0"/>
          <w:color w:val="333333"/>
          <w:spacing w:val="0"/>
          <w:sz w:val="32"/>
          <w:szCs w:val="32"/>
          <w:shd w:val="clear" w:fill="FFFFFF"/>
          <w:lang w:eastAsia="zh-CN"/>
        </w:rPr>
        <w:t>申报方式</w:t>
      </w:r>
    </w:p>
    <w:p w14:paraId="55E837AF">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（一）进入海易兑（https://hqzc.wssp.hainan.gov.cn/#/home）点击右上角登陆，若无账号需先注册（个人/法人）账号；</w:t>
      </w:r>
    </w:p>
    <w:p w14:paraId="091F73FE">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（二）注册账号后，登陆完善信息；</w:t>
      </w:r>
    </w:p>
    <w:p w14:paraId="442E38BB">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（三）在首页点选“事项申报”、选择区划“定安县”，找到申报事项“定安县2024年支持工业经济和科技创新发展奖励”，在规定的时间内进行申报，截止日期为2025年9月30日</w:t>
      </w:r>
      <w:bookmarkStart w:id="0" w:name="_GoBack"/>
      <w:bookmarkEnd w:id="0"/>
      <w:r>
        <w:rPr>
          <w:rFonts w:hint="eastAsia" w:ascii="仿宋_GB2312" w:hAnsi="仿宋_GB2312" w:eastAsia="仿宋_GB2312" w:cs="仿宋_GB2312"/>
          <w:color w:val="000000"/>
          <w:sz w:val="32"/>
          <w:szCs w:val="32"/>
          <w:lang w:val="en-US" w:eastAsia="zh-CN"/>
        </w:rPr>
        <w:t>。</w:t>
      </w:r>
    </w:p>
    <w:p w14:paraId="0A2CCE35">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both"/>
        <w:textAlignment w:val="auto"/>
        <w:rPr>
          <w:rStyle w:val="8"/>
          <w:rFonts w:hint="eastAsia" w:ascii="黑体" w:hAnsi="黑体" w:eastAsia="黑体" w:cs="黑体"/>
          <w:b/>
          <w:bCs/>
          <w:i w:val="0"/>
          <w:iCs w:val="0"/>
          <w:caps w:val="0"/>
          <w:color w:val="333333"/>
          <w:spacing w:val="0"/>
          <w:sz w:val="32"/>
          <w:szCs w:val="32"/>
          <w:shd w:val="clear" w:fill="FFFFFF"/>
          <w:lang w:eastAsia="zh-CN"/>
        </w:rPr>
      </w:pPr>
      <w:r>
        <w:rPr>
          <w:rFonts w:hint="eastAsia" w:ascii="仿宋_GB2312" w:hAnsi="仿宋_GB2312" w:eastAsia="仿宋_GB2312" w:cs="仿宋_GB2312"/>
          <w:color w:val="000000"/>
          <w:sz w:val="32"/>
          <w:szCs w:val="32"/>
          <w:lang w:val="en-US" w:eastAsia="zh-CN"/>
        </w:rPr>
        <w:t>（四）根据申报的类别在系统上上传相应的申报材料，核查无误后提交申报处理。</w:t>
      </w:r>
    </w:p>
    <w:p w14:paraId="7B09AD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580" w:lineRule="exact"/>
        <w:ind w:right="0" w:firstLine="640" w:firstLineChars="200"/>
        <w:jc w:val="both"/>
        <w:textAlignment w:val="auto"/>
        <w:rPr>
          <w:rStyle w:val="8"/>
          <w:rFonts w:hint="eastAsia" w:ascii="黑体" w:hAnsi="黑体" w:eastAsia="黑体" w:cs="黑体"/>
          <w:b w:val="0"/>
          <w:bCs w:val="0"/>
          <w:i w:val="0"/>
          <w:iCs w:val="0"/>
          <w:caps w:val="0"/>
          <w:color w:val="333333"/>
          <w:spacing w:val="0"/>
          <w:sz w:val="32"/>
          <w:szCs w:val="32"/>
          <w:shd w:val="clear" w:fill="FFFFFF"/>
          <w:lang w:eastAsia="zh-CN"/>
        </w:rPr>
      </w:pPr>
      <w:r>
        <w:rPr>
          <w:rStyle w:val="8"/>
          <w:rFonts w:hint="eastAsia" w:ascii="黑体" w:hAnsi="黑体" w:eastAsia="黑体" w:cs="黑体"/>
          <w:b w:val="0"/>
          <w:bCs w:val="0"/>
          <w:i w:val="0"/>
          <w:iCs w:val="0"/>
          <w:caps w:val="0"/>
          <w:color w:val="333333"/>
          <w:spacing w:val="0"/>
          <w:sz w:val="32"/>
          <w:szCs w:val="32"/>
          <w:shd w:val="clear" w:fill="FFFFFF"/>
          <w:lang w:eastAsia="zh-CN"/>
        </w:rPr>
        <w:t>二、</w:t>
      </w:r>
      <w:r>
        <w:rPr>
          <w:rStyle w:val="8"/>
          <w:rFonts w:hint="eastAsia" w:ascii="黑体" w:hAnsi="黑体" w:eastAsia="黑体" w:cs="黑体"/>
          <w:b w:val="0"/>
          <w:bCs w:val="0"/>
          <w:i w:val="0"/>
          <w:iCs w:val="0"/>
          <w:caps w:val="0"/>
          <w:color w:val="333333"/>
          <w:spacing w:val="0"/>
          <w:sz w:val="32"/>
          <w:szCs w:val="32"/>
          <w:shd w:val="clear" w:fill="FFFFFF"/>
        </w:rPr>
        <w:t>申报</w:t>
      </w:r>
      <w:r>
        <w:rPr>
          <w:rStyle w:val="8"/>
          <w:rFonts w:hint="eastAsia" w:ascii="黑体" w:hAnsi="黑体" w:eastAsia="黑体" w:cs="黑体"/>
          <w:b w:val="0"/>
          <w:bCs w:val="0"/>
          <w:i w:val="0"/>
          <w:iCs w:val="0"/>
          <w:caps w:val="0"/>
          <w:color w:val="333333"/>
          <w:spacing w:val="0"/>
          <w:sz w:val="32"/>
          <w:szCs w:val="32"/>
          <w:shd w:val="clear" w:fill="FFFFFF"/>
          <w:lang w:eastAsia="zh-CN"/>
        </w:rPr>
        <w:t>要求</w:t>
      </w:r>
    </w:p>
    <w:p w14:paraId="6B78AA20">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2024年度在定安县实际生产、运营企业，申报时未纳入国家企业信用信息公示系统经营异常名录、信用中国网严重失信主体名单，无欠缴税款，没有发生重大环境污染及重大安全生产事故,被评定为“亩均论英雄”A、B档企业。</w:t>
      </w:r>
    </w:p>
    <w:p w14:paraId="1BBE446D">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（二）项目符合《定安县支持工业经济和科技创新发展奖励资金管理实施细则》（附件1）文件规定的奖补范围、标准的具体细则条件。</w:t>
      </w:r>
    </w:p>
    <w:p w14:paraId="1AB7FB68">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Style w:val="8"/>
          <w:rFonts w:hint="eastAsia" w:ascii="黑体" w:hAnsi="黑体" w:eastAsia="黑体" w:cs="黑体"/>
          <w:b/>
          <w:bCs/>
          <w:i w:val="0"/>
          <w:iCs w:val="0"/>
          <w:caps w:val="0"/>
          <w:color w:val="333333"/>
          <w:spacing w:val="0"/>
          <w:sz w:val="32"/>
          <w:szCs w:val="32"/>
          <w:shd w:val="clear" w:fill="FFFFFF"/>
          <w:lang w:eastAsia="zh-CN"/>
        </w:rPr>
      </w:pPr>
      <w:r>
        <w:rPr>
          <w:rFonts w:hint="eastAsia" w:ascii="仿宋_GB2312" w:hAnsi="仿宋_GB2312" w:eastAsia="仿宋_GB2312" w:cs="仿宋_GB2312"/>
          <w:color w:val="000000"/>
          <w:sz w:val="32"/>
          <w:szCs w:val="32"/>
          <w:lang w:val="en-US" w:eastAsia="zh-CN"/>
        </w:rPr>
        <w:t>（三）申报主体资金奖补起始时间认定和测算从2024年1月1日起。</w:t>
      </w:r>
    </w:p>
    <w:p w14:paraId="214634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580" w:lineRule="exact"/>
        <w:ind w:left="0" w:right="0" w:firstLine="640" w:firstLineChars="200"/>
        <w:jc w:val="both"/>
        <w:textAlignment w:val="auto"/>
        <w:rPr>
          <w:rStyle w:val="8"/>
          <w:rFonts w:hint="eastAsia" w:ascii="黑体" w:hAnsi="黑体" w:eastAsia="黑体" w:cs="黑体"/>
          <w:b w:val="0"/>
          <w:bCs w:val="0"/>
          <w:i w:val="0"/>
          <w:iCs w:val="0"/>
          <w:caps w:val="0"/>
          <w:color w:val="333333"/>
          <w:spacing w:val="0"/>
          <w:sz w:val="32"/>
          <w:szCs w:val="32"/>
          <w:shd w:val="clear" w:fill="FFFFFF"/>
          <w:lang w:eastAsia="zh-CN"/>
        </w:rPr>
      </w:pPr>
      <w:r>
        <w:rPr>
          <w:rStyle w:val="8"/>
          <w:rFonts w:hint="eastAsia" w:ascii="黑体" w:hAnsi="黑体" w:eastAsia="黑体" w:cs="黑体"/>
          <w:b w:val="0"/>
          <w:bCs w:val="0"/>
          <w:i w:val="0"/>
          <w:iCs w:val="0"/>
          <w:caps w:val="0"/>
          <w:color w:val="333333"/>
          <w:spacing w:val="0"/>
          <w:sz w:val="32"/>
          <w:szCs w:val="32"/>
          <w:shd w:val="clear" w:fill="FFFFFF"/>
          <w:lang w:eastAsia="zh-CN"/>
        </w:rPr>
        <w:t>三</w:t>
      </w:r>
      <w:r>
        <w:rPr>
          <w:rStyle w:val="8"/>
          <w:rFonts w:hint="eastAsia" w:ascii="黑体" w:hAnsi="黑体" w:eastAsia="黑体" w:cs="黑体"/>
          <w:b w:val="0"/>
          <w:bCs w:val="0"/>
          <w:i w:val="0"/>
          <w:iCs w:val="0"/>
          <w:caps w:val="0"/>
          <w:color w:val="333333"/>
          <w:spacing w:val="0"/>
          <w:sz w:val="32"/>
          <w:szCs w:val="32"/>
          <w:shd w:val="clear" w:fill="FFFFFF"/>
        </w:rPr>
        <w:t>、</w:t>
      </w:r>
      <w:r>
        <w:rPr>
          <w:rStyle w:val="8"/>
          <w:rFonts w:hint="eastAsia" w:ascii="黑体" w:hAnsi="黑体" w:eastAsia="黑体" w:cs="黑体"/>
          <w:b w:val="0"/>
          <w:bCs w:val="0"/>
          <w:i w:val="0"/>
          <w:iCs w:val="0"/>
          <w:caps w:val="0"/>
          <w:color w:val="333333"/>
          <w:spacing w:val="0"/>
          <w:sz w:val="32"/>
          <w:szCs w:val="32"/>
          <w:shd w:val="clear" w:fill="FFFFFF"/>
          <w:lang w:eastAsia="zh-CN"/>
        </w:rPr>
        <w:t>奖励额度</w:t>
      </w:r>
    </w:p>
    <w:p w14:paraId="3904B43A">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（一）企业做大做强奖励</w:t>
      </w:r>
    </w:p>
    <w:p w14:paraId="09D01D78">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1.对首次升规（升规是指年产值2000万或以上，下同）并纳入统计部门联网直报的工业企业，给予该企业经营团队10万元奖励。</w:t>
      </w:r>
    </w:p>
    <w:p w14:paraId="7218418E">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鼓励制造业企业上规模，除享受省级政策扶持资金外，再给予相应的一次性奖励。对2024年产值首次突破1亿元、2亿元、4亿元、6亿元、8亿元、10亿元或以上的先进制造业企业，分别给予10万元、15万元、20万元、25万元、30万元、50万元奖励。</w:t>
      </w:r>
    </w:p>
    <w:p w14:paraId="3D0030AD">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（二）培育优质企业奖励</w:t>
      </w:r>
    </w:p>
    <w:p w14:paraId="2A9FA5C0">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设立优质企业培育库，对于年产值（或者营收）达1000万元或以上的企业申请加入优质企业培育库，一次性给予1万元奖励（除小升规、创新型中小、专精特新、小巨人、科技型中小、高新技术、种子、瞪羚、领军等企业外）。</w:t>
      </w:r>
    </w:p>
    <w:p w14:paraId="2E8213B6">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（三）优质企业称号奖励</w:t>
      </w:r>
    </w:p>
    <w:p w14:paraId="7F464FED">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1.初次认定为省级创新型中小企业、科技型中小企业，给予2万元奖励。</w:t>
      </w:r>
    </w:p>
    <w:p w14:paraId="10797381">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2.初次认定省级专精特新、高新技术企业，给予10万元奖励；复评为省级专精特新、高新技术企业，给予5万元奖励。</w:t>
      </w:r>
    </w:p>
    <w:p w14:paraId="0BAC09D0">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3.初次认定为国家级专精特新“小巨人”企业，给予30万元奖励；复评为国家级专精特新“小巨人”企业，给予15万元奖励。</w:t>
      </w:r>
    </w:p>
    <w:p w14:paraId="0683C5BE">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4高新技术企业“精英行动”奖励：初次认定种子、瞪羚企业，给予15万元奖励；复评为种子、瞪羚企业，给予5万元奖励；初次认定为领军企业，给予20万元奖励；复评为领军企业，给予10万元奖励。</w:t>
      </w:r>
    </w:p>
    <w:p w14:paraId="3977ACFA">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（四）企业创新赋能奖励</w:t>
      </w:r>
    </w:p>
    <w:p w14:paraId="5A7E4772">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1.奖励规模以上企业和研发机构研发经费增量：奖励同比上一年度研发经费增量部分的15%，最高不超过10万元。研发经费以企业所得税纳税申报表中“可加计扣除研发费”为准。</w:t>
      </w:r>
    </w:p>
    <w:p w14:paraId="2E231CBB">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2.对认定为省级研发机构的企业和科研机构，给予10万元奖励。</w:t>
      </w:r>
    </w:p>
    <w:p w14:paraId="69BF1E0D">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3.对认定为国家级博士后科研工作站的企业和科研机构，给予20万元奖励。</w:t>
      </w:r>
    </w:p>
    <w:p w14:paraId="198C38FB">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4.对认定为省级博士后创新实践基地的企业和科研机构，给予20万元奖励。</w:t>
      </w:r>
    </w:p>
    <w:p w14:paraId="69C4D536">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（五）企业设计赋能奖励</w:t>
      </w:r>
    </w:p>
    <w:p w14:paraId="526FB992">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1.对获得iF设计金奖、红点至尊奖的我县设计企业或企业所属设计机构，给予每项20万元奖励；对获得国家级设计奖的我县设计企业或企业所属设计机构，给予每项10万元奖励。</w:t>
      </w:r>
    </w:p>
    <w:p w14:paraId="272484AC">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2.对获得海南省设计师大赛优秀奖、铜奖、银奖和金奖的企业，分别给予5万元，10万元，15万元，20万元奖励。</w:t>
      </w:r>
    </w:p>
    <w:p w14:paraId="31A6F0DF">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3.对于认定为省级工业设计中心的企业，给予10万元一次性奖励。</w:t>
      </w:r>
    </w:p>
    <w:p w14:paraId="688CDD2B">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（六）企业数字化转型奖励</w:t>
      </w:r>
    </w:p>
    <w:p w14:paraId="1CED92CB">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对获得省级智能制造、服务型制造、绿色工厂等试点示范的企业，给予20万元奖励。</w:t>
      </w:r>
    </w:p>
    <w:p w14:paraId="649DCCAB">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（七）企业金融支持奖励</w:t>
      </w:r>
    </w:p>
    <w:p w14:paraId="6AD4D38A">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1.获得中国证监会核准或注册并在证券交易所成功发行的企业，给予60万元奖励。</w:t>
      </w:r>
    </w:p>
    <w:p w14:paraId="71304C40">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2.对成功在省内区域性股权交易中心挂牌的企业，给予10万元奖励。</w:t>
      </w:r>
    </w:p>
    <w:p w14:paraId="144502BF">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（八）企业申报加工增值内销免关税政策试点、进口“零关税”自用生产设备奖励</w:t>
      </w:r>
    </w:p>
    <w:p w14:paraId="3D329198">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对于获批加工增值内销免关税政策试点企业，给予2万元奖励。对于进口“零关税”自用生产设备企业，给予2万元奖励。</w:t>
      </w:r>
    </w:p>
    <w:p w14:paraId="7622F273">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（九）重大项目一事一议奖励。对特别重大的产业项目，或对于产值和税收明显超过最低考核标准的项目纳入一事一议范围，给予贡献奖励。</w:t>
      </w:r>
    </w:p>
    <w:p w14:paraId="0AB5D8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580" w:lineRule="exact"/>
        <w:ind w:left="0" w:right="0" w:firstLine="640" w:firstLineChars="200"/>
        <w:jc w:val="both"/>
        <w:textAlignment w:val="auto"/>
        <w:rPr>
          <w:rStyle w:val="8"/>
          <w:rFonts w:hint="eastAsia" w:ascii="黑体" w:hAnsi="黑体" w:eastAsia="黑体" w:cs="黑体"/>
          <w:b w:val="0"/>
          <w:bCs w:val="0"/>
          <w:i w:val="0"/>
          <w:iCs w:val="0"/>
          <w:caps w:val="0"/>
          <w:color w:val="333333"/>
          <w:spacing w:val="0"/>
          <w:sz w:val="32"/>
          <w:szCs w:val="32"/>
          <w:shd w:val="clear" w:fill="FFFFFF"/>
          <w:lang w:eastAsia="zh-CN"/>
        </w:rPr>
      </w:pPr>
      <w:r>
        <w:rPr>
          <w:rStyle w:val="8"/>
          <w:rFonts w:hint="eastAsia" w:ascii="黑体" w:hAnsi="黑体" w:eastAsia="黑体" w:cs="黑体"/>
          <w:b w:val="0"/>
          <w:bCs w:val="0"/>
          <w:i w:val="0"/>
          <w:iCs w:val="0"/>
          <w:caps w:val="0"/>
          <w:color w:val="333333"/>
          <w:spacing w:val="0"/>
          <w:sz w:val="32"/>
          <w:szCs w:val="32"/>
          <w:shd w:val="clear" w:fill="FFFFFF"/>
          <w:lang w:eastAsia="zh-CN"/>
        </w:rPr>
        <w:t>四、</w:t>
      </w:r>
      <w:r>
        <w:rPr>
          <w:rStyle w:val="8"/>
          <w:rFonts w:hint="eastAsia" w:ascii="黑体" w:hAnsi="黑体" w:eastAsia="黑体" w:cs="黑体"/>
          <w:b w:val="0"/>
          <w:bCs w:val="0"/>
          <w:i w:val="0"/>
          <w:iCs w:val="0"/>
          <w:caps w:val="0"/>
          <w:color w:val="333333"/>
          <w:spacing w:val="0"/>
          <w:sz w:val="32"/>
          <w:szCs w:val="32"/>
          <w:shd w:val="clear" w:fill="FFFFFF"/>
        </w:rPr>
        <w:t>申报</w:t>
      </w:r>
      <w:r>
        <w:rPr>
          <w:rStyle w:val="8"/>
          <w:rFonts w:hint="eastAsia" w:ascii="黑体" w:hAnsi="黑体" w:eastAsia="黑体" w:cs="黑体"/>
          <w:b w:val="0"/>
          <w:bCs w:val="0"/>
          <w:i w:val="0"/>
          <w:iCs w:val="0"/>
          <w:caps w:val="0"/>
          <w:color w:val="333333"/>
          <w:spacing w:val="0"/>
          <w:sz w:val="32"/>
          <w:szCs w:val="32"/>
          <w:shd w:val="clear" w:fill="FFFFFF"/>
          <w:lang w:eastAsia="zh-CN"/>
        </w:rPr>
        <w:t>材料</w:t>
      </w:r>
    </w:p>
    <w:p w14:paraId="5EC8C3AB">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（一）定安县支持工业经济和科技创新发展奖励申报表（附件2）；</w:t>
      </w:r>
    </w:p>
    <w:p w14:paraId="237D2676">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（二）2024年以来</w:t>
      </w:r>
      <w:r>
        <w:rPr>
          <w:rFonts w:hint="eastAsia" w:ascii="仿宋_GB2312" w:hAnsi="仿宋_GB2312" w:eastAsia="仿宋_GB2312" w:cs="仿宋_GB2312"/>
          <w:color w:val="000000" w:themeColor="text1"/>
          <w:w w:val="100"/>
          <w:sz w:val="32"/>
          <w:szCs w:val="32"/>
          <w14:textFill>
            <w14:solidFill>
              <w14:schemeClr w14:val="tx1"/>
            </w14:solidFill>
          </w14:textFill>
        </w:rPr>
        <w:t>未</w:t>
      </w:r>
      <w:r>
        <w:rPr>
          <w:rFonts w:hint="eastAsia" w:ascii="仿宋_GB2312" w:hAnsi="仿宋_GB2312" w:eastAsia="仿宋_GB2312" w:cs="仿宋_GB2312"/>
          <w:color w:val="000000" w:themeColor="text1"/>
          <w:w w:val="100"/>
          <w:sz w:val="32"/>
          <w:szCs w:val="32"/>
          <w:lang w:eastAsia="zh-CN"/>
          <w14:textFill>
            <w14:solidFill>
              <w14:schemeClr w14:val="tx1"/>
            </w14:solidFill>
          </w14:textFill>
        </w:rPr>
        <w:t>被</w:t>
      </w:r>
      <w:r>
        <w:rPr>
          <w:rFonts w:hint="eastAsia" w:ascii="仿宋_GB2312" w:hAnsi="仿宋_GB2312" w:eastAsia="仿宋_GB2312" w:cs="仿宋_GB2312"/>
          <w:color w:val="000000" w:themeColor="text1"/>
          <w:w w:val="100"/>
          <w:sz w:val="32"/>
          <w:szCs w:val="32"/>
          <w14:textFill>
            <w14:solidFill>
              <w14:schemeClr w14:val="tx1"/>
            </w14:solidFill>
          </w14:textFill>
        </w:rPr>
        <w:t>纳入国家企业信用信息公示系统经营异常名录、信用中国网严重失信主体名单，</w:t>
      </w:r>
      <w:r>
        <w:rPr>
          <w:rFonts w:hint="eastAsia" w:ascii="仿宋_GB2312" w:hAnsi="仿宋_GB2312" w:eastAsia="仿宋_GB2312" w:cs="仿宋_GB2312"/>
          <w:color w:val="000000" w:themeColor="text1"/>
          <w:w w:val="100"/>
          <w:sz w:val="32"/>
          <w:szCs w:val="32"/>
          <w:lang w:eastAsia="zh-CN"/>
          <w14:textFill>
            <w14:solidFill>
              <w14:schemeClr w14:val="tx1"/>
            </w14:solidFill>
          </w14:textFill>
        </w:rPr>
        <w:t>没有</w:t>
      </w:r>
      <w:r>
        <w:rPr>
          <w:rFonts w:hint="eastAsia" w:ascii="仿宋_GB2312" w:hAnsi="仿宋_GB2312" w:eastAsia="仿宋_GB2312" w:cs="仿宋_GB2312"/>
          <w:color w:val="000000" w:themeColor="text1"/>
          <w:w w:val="100"/>
          <w:sz w:val="32"/>
          <w:szCs w:val="32"/>
          <w14:textFill>
            <w14:solidFill>
              <w14:schemeClr w14:val="tx1"/>
            </w14:solidFill>
          </w14:textFill>
        </w:rPr>
        <w:t>发生重大环境污染及重大安全生产事故</w:t>
      </w:r>
      <w:r>
        <w:rPr>
          <w:rFonts w:hint="eastAsia" w:ascii="仿宋_GB2312" w:hAnsi="仿宋_GB2312" w:eastAsia="仿宋_GB2312" w:cs="仿宋_GB2312"/>
          <w:color w:val="000000"/>
          <w:sz w:val="32"/>
          <w:szCs w:val="32"/>
          <w:lang w:val="en-US" w:eastAsia="zh-CN"/>
        </w:rPr>
        <w:t>以及欠偷漏税等违法违规行为证明材料（在信用中国https://www.creditchina.gov.cn/下载公共信用信息报告）；</w:t>
      </w:r>
    </w:p>
    <w:p w14:paraId="0160DDE1">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（三）加盖公章的申报主体营业执照复印件；</w:t>
      </w:r>
    </w:p>
    <w:p w14:paraId="3DE5C8B3">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（四）专用材料（申请项目所需要的获奖认证（认定）或相关文件材料复印件。如初次认定或复评为省级专精特新、高新技术企业的，需提供专精特新、高新技术企业证书或相关认定材料复印件，均带公章）。</w:t>
      </w:r>
    </w:p>
    <w:p w14:paraId="1977CFB3">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（五）对于</w:t>
      </w:r>
      <w:r>
        <w:rPr>
          <w:rFonts w:hint="eastAsia" w:ascii="仿宋_GB2312" w:hAnsi="仿宋_GB2312" w:eastAsia="仿宋_GB2312" w:cs="仿宋_GB2312"/>
          <w:color w:val="auto"/>
          <w:kern w:val="0"/>
          <w:sz w:val="32"/>
          <w:szCs w:val="32"/>
          <w:shd w:val="clear" w:color="auto" w:fill="auto"/>
          <w:lang w:val="en-US" w:eastAsia="zh-CN" w:bidi="ar"/>
        </w:rPr>
        <w:t>规模以上企业和研发机构研发经费增量奖励，需提供</w:t>
      </w:r>
      <w:r>
        <w:rPr>
          <w:rFonts w:hint="eastAsia" w:ascii="仿宋_GB2312" w:hAnsi="仿宋_GB2312" w:eastAsia="仿宋_GB2312" w:cs="仿宋_GB2312"/>
          <w:color w:val="auto"/>
          <w:sz w:val="32"/>
          <w:szCs w:val="32"/>
          <w:shd w:val="clear" w:color="auto" w:fill="auto"/>
          <w:lang w:val="en-US" w:eastAsia="zh-CN"/>
        </w:rPr>
        <w:t>2023年、2024年企业所得税年度纳税申报表；申请奖励经费在5万元（含）以上的企业，需出具2023年、2024年研发费用专项审计报告或研发费用税务鉴证报告并披露财政补助资金用于研发的情况。</w:t>
      </w:r>
    </w:p>
    <w:p w14:paraId="242FEED0">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lang w:val="en-US" w:eastAsia="zh-CN"/>
        </w:rPr>
        <w:t>（六）</w:t>
      </w:r>
      <w:r>
        <w:rPr>
          <w:rFonts w:hint="eastAsia" w:ascii="仿宋_GB2312" w:hAnsi="仿宋_GB2312" w:eastAsia="仿宋_GB2312" w:cs="仿宋_GB2312"/>
          <w:color w:val="000000"/>
          <w:kern w:val="0"/>
          <w:sz w:val="32"/>
          <w:szCs w:val="32"/>
          <w:lang w:val="en-US" w:eastAsia="zh-CN" w:bidi="ar"/>
        </w:rPr>
        <w:t>申报单位对资金申请表和附属文件真实性负责的诚信承诺书（附件3）</w:t>
      </w:r>
    </w:p>
    <w:p w14:paraId="16C298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580" w:lineRule="exact"/>
        <w:ind w:left="0" w:right="0" w:firstLine="640" w:firstLineChars="200"/>
        <w:jc w:val="both"/>
        <w:textAlignment w:val="auto"/>
        <w:rPr>
          <w:rStyle w:val="8"/>
          <w:rFonts w:hint="eastAsia" w:ascii="黑体" w:hAnsi="黑体" w:eastAsia="黑体" w:cs="黑体"/>
          <w:b w:val="0"/>
          <w:bCs w:val="0"/>
          <w:i w:val="0"/>
          <w:iCs w:val="0"/>
          <w:caps w:val="0"/>
          <w:color w:val="333333"/>
          <w:spacing w:val="0"/>
          <w:sz w:val="32"/>
          <w:szCs w:val="32"/>
          <w:shd w:val="clear" w:fill="FFFFFF"/>
          <w:lang w:eastAsia="zh-CN"/>
        </w:rPr>
      </w:pPr>
      <w:r>
        <w:rPr>
          <w:rStyle w:val="8"/>
          <w:rFonts w:hint="eastAsia" w:ascii="黑体" w:hAnsi="黑体" w:eastAsia="黑体" w:cs="黑体"/>
          <w:b w:val="0"/>
          <w:bCs w:val="0"/>
          <w:i w:val="0"/>
          <w:iCs w:val="0"/>
          <w:caps w:val="0"/>
          <w:color w:val="333333"/>
          <w:spacing w:val="0"/>
          <w:sz w:val="32"/>
          <w:szCs w:val="32"/>
          <w:shd w:val="clear" w:fill="FFFFFF"/>
          <w:lang w:eastAsia="zh-CN"/>
        </w:rPr>
        <w:t>五</w:t>
      </w:r>
      <w:r>
        <w:rPr>
          <w:rStyle w:val="8"/>
          <w:rFonts w:hint="eastAsia" w:ascii="黑体" w:hAnsi="黑体" w:eastAsia="黑体" w:cs="黑体"/>
          <w:b w:val="0"/>
          <w:bCs w:val="0"/>
          <w:i w:val="0"/>
          <w:iCs w:val="0"/>
          <w:caps w:val="0"/>
          <w:color w:val="333333"/>
          <w:spacing w:val="0"/>
          <w:sz w:val="32"/>
          <w:szCs w:val="32"/>
          <w:shd w:val="clear" w:fill="FFFFFF"/>
        </w:rPr>
        <w:t>、</w:t>
      </w:r>
      <w:r>
        <w:rPr>
          <w:rStyle w:val="8"/>
          <w:rFonts w:hint="eastAsia" w:ascii="黑体" w:hAnsi="黑体" w:eastAsia="黑体" w:cs="黑体"/>
          <w:b w:val="0"/>
          <w:bCs w:val="0"/>
          <w:i w:val="0"/>
          <w:iCs w:val="0"/>
          <w:caps w:val="0"/>
          <w:color w:val="333333"/>
          <w:spacing w:val="0"/>
          <w:sz w:val="32"/>
          <w:szCs w:val="32"/>
          <w:shd w:val="clear" w:fill="FFFFFF"/>
          <w:lang w:eastAsia="zh-CN"/>
        </w:rPr>
        <w:t>其他事项</w:t>
      </w:r>
    </w:p>
    <w:p w14:paraId="4703500D">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（一）申报企业不得提供虚假材料骗取奖励资金。</w:t>
      </w:r>
      <w:r>
        <w:rPr>
          <w:rFonts w:hint="eastAsia" w:ascii="仿宋_GB2312" w:hAnsi="仿宋_GB2312" w:eastAsia="仿宋_GB2312" w:cs="仿宋_GB2312"/>
          <w:color w:val="000000"/>
          <w:kern w:val="0"/>
          <w:sz w:val="32"/>
          <w:szCs w:val="32"/>
          <w:highlight w:val="none"/>
          <w:lang w:val="en-US" w:eastAsia="zh-CN" w:bidi="ar"/>
        </w:rPr>
        <w:t>违反则取消当年享受上述政策的资格，对已经发放的，予以收回，并依法追究相关责任人员的责任。</w:t>
      </w:r>
    </w:p>
    <w:p w14:paraId="6EDE268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（二）获得支持的企业，奖励资金要用于企业的生产经营和推动企业发展，并遵守国家有关财务会计制度，并接受配合有关部门开展的监督检查工作。</w:t>
      </w:r>
    </w:p>
    <w:p w14:paraId="441F49B3">
      <w:pPr>
        <w:keepNext w:val="0"/>
        <w:keepLines w:val="0"/>
        <w:pageBreakBefore w:val="0"/>
        <w:kinsoku/>
        <w:wordWrap/>
        <w:overflowPunct/>
        <w:topLinePunct w:val="0"/>
        <w:autoSpaceDE/>
        <w:autoSpaceDN/>
        <w:bidi w:val="0"/>
        <w:adjustRightInd/>
        <w:snapToGrid/>
        <w:spacing w:beforeLines="0" w:afterLines="0" w:line="58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w:t>
      </w:r>
      <w:r>
        <w:rPr>
          <w:rFonts w:hint="eastAsia" w:ascii="仿宋_GB2312" w:hAnsi="仿宋_GB2312" w:eastAsia="仿宋_GB2312" w:cs="仿宋_GB2312"/>
          <w:color w:val="000000"/>
          <w:sz w:val="32"/>
          <w:szCs w:val="32"/>
          <w:lang w:val="en-US" w:eastAsia="zh-CN"/>
        </w:rPr>
        <w:t>符合《奖励办法》规定的企业须依据实施细则与申报指南的规定将申报材料报送县科学技术和工业信息化局。申报单位须对资金申报材料的真实性、合法性、合规性承担主体责任。</w:t>
      </w:r>
    </w:p>
    <w:p w14:paraId="790D193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lang w:val="en-US" w:eastAsia="zh-CN" w:bidi="ar"/>
        </w:rPr>
        <w:t>（四）项目申报联系人：叶铭林；联系方式：63831443</w:t>
      </w:r>
    </w:p>
    <w:p w14:paraId="0DF8E875">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880" w:firstLineChars="200"/>
        <w:jc w:val="both"/>
        <w:textAlignment w:val="auto"/>
        <w:rPr>
          <w:rStyle w:val="8"/>
          <w:rFonts w:hint="eastAsia" w:ascii="方正小标宋简体" w:hAnsi="方正小标宋简体" w:eastAsia="方正小标宋简体" w:cs="方正小标宋简体"/>
          <w:b w:val="0"/>
          <w:bCs/>
          <w:i w:val="0"/>
          <w:iCs w:val="0"/>
          <w:caps w:val="0"/>
          <w:color w:val="303133"/>
          <w:spacing w:val="0"/>
          <w:sz w:val="44"/>
          <w:szCs w:val="44"/>
          <w:shd w:val="clear" w:fill="FFFFFF"/>
          <w:lang w:val="en-US" w:eastAsia="zh-CN"/>
        </w:rPr>
      </w:pPr>
    </w:p>
    <w:p w14:paraId="34F20075">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left="1598" w:leftChars="304" w:hanging="960" w:hangingChars="3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kern w:val="0"/>
          <w:sz w:val="32"/>
          <w:szCs w:val="32"/>
          <w:highlight w:val="none"/>
          <w:lang w:val="en-US" w:eastAsia="zh-CN" w:bidi="ar"/>
        </w:rPr>
        <w:t>附件: 1.</w:t>
      </w:r>
      <w:r>
        <w:rPr>
          <w:rFonts w:hint="eastAsia" w:ascii="仿宋_GB2312" w:hAnsi="仿宋_GB2312" w:eastAsia="仿宋_GB2312" w:cs="仿宋_GB2312"/>
          <w:color w:val="000000"/>
          <w:sz w:val="32"/>
          <w:szCs w:val="32"/>
          <w:lang w:val="en-US" w:eastAsia="zh-CN"/>
        </w:rPr>
        <w:t>定安县支持工业经济和科技创新发展奖励资金管理实施细则</w:t>
      </w:r>
    </w:p>
    <w:p w14:paraId="1AA36151">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left="1596" w:leftChars="760" w:firstLine="0" w:firstLineChars="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2.定安县支持工业经济和科技创新发展奖励申报表</w:t>
      </w:r>
    </w:p>
    <w:p w14:paraId="11E93B14">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left="1596" w:leftChars="760" w:firstLine="0" w:firstLineChars="0"/>
        <w:jc w:val="both"/>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kern w:val="0"/>
          <w:sz w:val="32"/>
          <w:szCs w:val="32"/>
          <w:lang w:val="en-US" w:eastAsia="zh-CN" w:bidi="ar"/>
        </w:rPr>
        <w:t>诚信承诺书</w:t>
      </w:r>
    </w:p>
    <w:p w14:paraId="13AC0B36">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olor w:val="000000"/>
          <w:kern w:val="0"/>
          <w:sz w:val="32"/>
          <w:szCs w:val="32"/>
          <w:highlight w:val="none"/>
          <w:lang w:val="en-US" w:eastAsia="zh-CN" w:bidi="ar"/>
        </w:rPr>
      </w:pPr>
    </w:p>
    <w:p w14:paraId="4ED7C0E4">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both"/>
        <w:rPr>
          <w:rFonts w:hint="eastAsia" w:ascii="仿宋_GB2312" w:hAnsi="仿宋_GB2312" w:eastAsia="仿宋_GB2312" w:cs="仿宋_GB2312"/>
          <w:color w:val="000000"/>
          <w:kern w:val="0"/>
          <w:sz w:val="32"/>
          <w:szCs w:val="32"/>
          <w:highlight w:val="none"/>
          <w:lang w:val="en-US" w:eastAsia="zh-CN" w:bidi="ar"/>
        </w:rPr>
      </w:pPr>
    </w:p>
    <w:p w14:paraId="54AE8799">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both"/>
        <w:rPr>
          <w:rFonts w:hint="eastAsia" w:ascii="仿宋_GB2312" w:hAnsi="仿宋_GB2312" w:eastAsia="仿宋_GB2312" w:cs="仿宋_GB2312"/>
          <w:color w:val="000000"/>
          <w:kern w:val="0"/>
          <w:sz w:val="32"/>
          <w:szCs w:val="32"/>
          <w:highlight w:val="none"/>
          <w:lang w:val="en-US" w:eastAsia="zh-CN" w:bidi="ar"/>
        </w:rPr>
      </w:pPr>
    </w:p>
    <w:p w14:paraId="1779E875">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both"/>
        <w:rPr>
          <w:rFonts w:hint="default" w:ascii="仿宋_GB2312" w:hAnsi="仿宋_GB2312" w:eastAsia="仿宋_GB2312" w:cs="仿宋_GB2312"/>
          <w:color w:val="000000"/>
          <w:kern w:val="0"/>
          <w:sz w:val="32"/>
          <w:szCs w:val="32"/>
          <w:highlight w:val="none"/>
          <w:lang w:val="en-US" w:eastAsia="zh-CN" w:bidi="ar"/>
        </w:rPr>
      </w:pPr>
    </w:p>
    <w:p w14:paraId="5526EAA1">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both"/>
        <w:rPr>
          <w:rFonts w:hint="default" w:ascii="仿宋_GB2312" w:hAnsi="仿宋_GB2312" w:eastAsia="仿宋_GB2312" w:cs="仿宋_GB2312"/>
          <w:color w:val="000000"/>
          <w:kern w:val="0"/>
          <w:sz w:val="32"/>
          <w:szCs w:val="32"/>
          <w:highlight w:val="none"/>
          <w:lang w:val="en-US" w:eastAsia="zh-CN" w:bidi="ar"/>
        </w:rPr>
      </w:pPr>
    </w:p>
    <w:p w14:paraId="3D3981C6">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both"/>
        <w:rPr>
          <w:rFonts w:hint="default" w:ascii="仿宋_GB2312" w:hAnsi="仿宋_GB2312" w:eastAsia="仿宋_GB2312" w:cs="仿宋_GB2312"/>
          <w:color w:val="000000"/>
          <w:kern w:val="0"/>
          <w:sz w:val="32"/>
          <w:szCs w:val="32"/>
          <w:highlight w:val="none"/>
          <w:lang w:val="en-US" w:eastAsia="zh-CN" w:bidi="ar"/>
        </w:rPr>
      </w:pPr>
    </w:p>
    <w:p w14:paraId="2BFF65CC">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both"/>
        <w:rPr>
          <w:rFonts w:hint="default" w:ascii="仿宋_GB2312" w:hAnsi="仿宋_GB2312" w:eastAsia="仿宋_GB2312" w:cs="仿宋_GB2312"/>
          <w:color w:val="000000"/>
          <w:kern w:val="0"/>
          <w:sz w:val="32"/>
          <w:szCs w:val="32"/>
          <w:highlight w:val="none"/>
          <w:lang w:val="en-US" w:eastAsia="zh-CN" w:bidi="ar"/>
        </w:rPr>
      </w:pPr>
    </w:p>
    <w:p w14:paraId="316D16A0">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ascii="仿宋_GB2312" w:hAnsi="仿宋_GB2312" w:eastAsia="仿宋_GB2312" w:cs="仿宋_GB2312"/>
          <w:color w:val="auto"/>
          <w:spacing w:val="9"/>
          <w:sz w:val="32"/>
          <w:szCs w:val="32"/>
          <w:lang w:val="en-US" w:eastAsia="zh-CN"/>
        </w:rPr>
        <w:sectPr>
          <w:pgSz w:w="11906" w:h="16838"/>
          <w:pgMar w:top="1440" w:right="1800" w:bottom="1440" w:left="1800" w:header="851" w:footer="992" w:gutter="0"/>
          <w:cols w:space="425" w:num="1"/>
          <w:docGrid w:type="lines" w:linePitch="312" w:charSpace="0"/>
        </w:sectPr>
      </w:pPr>
    </w:p>
    <w:p w14:paraId="54C3BEFE">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left"/>
        <w:rPr>
          <w:rFonts w:hint="eastAsia" w:ascii="黑体" w:hAnsi="黑体" w:eastAsia="黑体" w:cs="黑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附件1</w:t>
      </w:r>
    </w:p>
    <w:p w14:paraId="39B0E64D">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center"/>
        <w:rPr>
          <w:rStyle w:val="8"/>
          <w:rFonts w:hint="eastAsia" w:ascii="方正小标宋简体" w:hAnsi="方正小标宋简体" w:eastAsia="方正小标宋简体" w:cs="方正小标宋简体"/>
          <w:b w:val="0"/>
          <w:bCs/>
          <w:i w:val="0"/>
          <w:iCs w:val="0"/>
          <w:caps w:val="0"/>
          <w:color w:val="303133"/>
          <w:spacing w:val="0"/>
          <w:sz w:val="44"/>
          <w:szCs w:val="44"/>
          <w:shd w:val="clear" w:fill="FFFFFF"/>
        </w:rPr>
      </w:pPr>
      <w:r>
        <w:rPr>
          <w:rStyle w:val="8"/>
          <w:rFonts w:hint="eastAsia" w:ascii="方正小标宋简体" w:hAnsi="方正小标宋简体" w:eastAsia="方正小标宋简体" w:cs="方正小标宋简体"/>
          <w:b w:val="0"/>
          <w:bCs/>
          <w:i w:val="0"/>
          <w:iCs w:val="0"/>
          <w:caps w:val="0"/>
          <w:color w:val="303133"/>
          <w:spacing w:val="0"/>
          <w:sz w:val="44"/>
          <w:szCs w:val="44"/>
          <w:shd w:val="clear" w:fill="FFFFFF"/>
          <w:lang w:val="en-US" w:eastAsia="zh-CN"/>
        </w:rPr>
        <w:t>定安县</w:t>
      </w:r>
      <w:r>
        <w:rPr>
          <w:rFonts w:hint="eastAsia" w:ascii="方正小标宋简体" w:hAnsi="方正小标宋简体" w:eastAsia="方正小标宋简体" w:cs="方正小标宋简体"/>
          <w:b w:val="0"/>
          <w:bCs/>
          <w:color w:val="000000"/>
          <w:sz w:val="44"/>
          <w:szCs w:val="44"/>
        </w:rPr>
        <w:t>支持工业经济和科技</w:t>
      </w:r>
      <w:r>
        <w:rPr>
          <w:rFonts w:hint="eastAsia" w:ascii="方正小标宋简体" w:hAnsi="方正小标宋简体" w:eastAsia="方正小标宋简体" w:cs="方正小标宋简体"/>
          <w:b w:val="0"/>
          <w:bCs/>
          <w:color w:val="000000"/>
          <w:sz w:val="44"/>
          <w:szCs w:val="44"/>
          <w:lang w:val="en-US" w:eastAsia="zh-CN"/>
        </w:rPr>
        <w:t>创新</w:t>
      </w:r>
      <w:r>
        <w:rPr>
          <w:rFonts w:hint="eastAsia" w:ascii="方正小标宋简体" w:hAnsi="方正小标宋简体" w:eastAsia="方正小标宋简体" w:cs="方正小标宋简体"/>
          <w:b w:val="0"/>
          <w:bCs/>
          <w:color w:val="000000"/>
          <w:sz w:val="44"/>
          <w:szCs w:val="44"/>
        </w:rPr>
        <w:t>发展</w:t>
      </w:r>
      <w:r>
        <w:rPr>
          <w:rStyle w:val="8"/>
          <w:rFonts w:hint="eastAsia" w:ascii="方正小标宋简体" w:hAnsi="方正小标宋简体" w:eastAsia="方正小标宋简体" w:cs="方正小标宋简体"/>
          <w:b w:val="0"/>
          <w:bCs/>
          <w:i w:val="0"/>
          <w:iCs w:val="0"/>
          <w:caps w:val="0"/>
          <w:color w:val="303133"/>
          <w:spacing w:val="0"/>
          <w:sz w:val="44"/>
          <w:szCs w:val="44"/>
          <w:shd w:val="clear" w:fill="FFFFFF"/>
        </w:rPr>
        <w:t>奖励资金管理实施细则</w:t>
      </w:r>
    </w:p>
    <w:p w14:paraId="0F129008">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640" w:firstLineChars="200"/>
        <w:jc w:val="center"/>
        <w:textAlignment w:val="auto"/>
        <w:rPr>
          <w:rFonts w:hint="eastAsia" w:ascii="方正小标宋简体" w:hAnsi="方正小标宋简体" w:eastAsia="方正小标宋简体" w:cs="方正小标宋简体"/>
          <w:color w:val="000000"/>
          <w:sz w:val="32"/>
          <w:szCs w:val="32"/>
        </w:rPr>
      </w:pPr>
    </w:p>
    <w:p w14:paraId="75096B02">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第一章</w:t>
      </w:r>
      <w:r>
        <w:rPr>
          <w:rFonts w:hint="eastAsia" w:ascii="黑体" w:hAnsi="黑体" w:eastAsia="黑体" w:cs="黑体"/>
          <w:color w:val="000000"/>
          <w:sz w:val="32"/>
          <w:szCs w:val="32"/>
          <w:lang w:val="en-US" w:eastAsia="zh-CN"/>
        </w:rPr>
        <w:t xml:space="preserve"> 总则</w:t>
      </w:r>
    </w:p>
    <w:p w14:paraId="4A57B62D">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s="黑体"/>
          <w:color w:val="000000"/>
          <w:sz w:val="32"/>
          <w:szCs w:val="32"/>
          <w:lang w:val="en-US" w:eastAsia="zh-CN"/>
        </w:rPr>
      </w:pPr>
    </w:p>
    <w:p w14:paraId="7900BA4B">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第一条</w:t>
      </w:r>
      <w:r>
        <w:rPr>
          <w:rFonts w:hint="eastAsia" w:ascii="仿宋_GB2312" w:hAnsi="仿宋_GB2312" w:eastAsia="仿宋_GB2312" w:cs="仿宋_GB2312"/>
          <w:b/>
          <w:bCs/>
          <w:color w:val="000000"/>
          <w:sz w:val="32"/>
          <w:szCs w:val="32"/>
          <w:lang w:val="en-US" w:eastAsia="zh-CN"/>
        </w:rPr>
        <w:t xml:space="preserve"> </w:t>
      </w:r>
      <w:r>
        <w:rPr>
          <w:rFonts w:hint="eastAsia" w:ascii="仿宋_GB2312" w:hAnsi="仿宋_GB2312" w:eastAsia="仿宋_GB2312" w:cs="仿宋_GB2312"/>
          <w:color w:val="000000"/>
          <w:sz w:val="32"/>
          <w:szCs w:val="32"/>
        </w:rPr>
        <w:t>为</w:t>
      </w:r>
      <w:r>
        <w:rPr>
          <w:rFonts w:hint="eastAsia" w:ascii="仿宋_GB2312" w:hAnsi="仿宋_GB2312" w:eastAsia="仿宋_GB2312" w:cs="仿宋_GB2312"/>
          <w:color w:val="000000"/>
          <w:sz w:val="32"/>
          <w:szCs w:val="32"/>
          <w:lang w:eastAsia="zh-CN"/>
        </w:rPr>
        <w:t>贯彻落实</w:t>
      </w:r>
      <w:r>
        <w:rPr>
          <w:rFonts w:hint="eastAsia" w:ascii="仿宋_GB2312" w:hAnsi="仿宋_GB2312" w:eastAsia="仿宋_GB2312" w:cs="仿宋_GB2312"/>
          <w:color w:val="000000"/>
          <w:sz w:val="32"/>
          <w:szCs w:val="32"/>
          <w:lang w:val="en-US" w:eastAsia="zh-CN"/>
        </w:rPr>
        <w:t>定安县人民政府办公室《关于印发定安县支持工业经济和科技创新发展若干奖励办法的通知》</w:t>
      </w:r>
      <w:r>
        <w:rPr>
          <w:rFonts w:hint="eastAsia" w:ascii="仿宋_GB2312" w:hAnsi="仿宋_GB2312" w:eastAsia="仿宋_GB2312" w:cs="仿宋_GB2312"/>
          <w:color w:val="000000"/>
          <w:kern w:val="0"/>
          <w:sz w:val="32"/>
          <w:szCs w:val="32"/>
          <w:lang w:val="en-US" w:eastAsia="zh-CN" w:bidi="ar"/>
        </w:rPr>
        <w:t>(定府办规〔2025〕6号)（以下简称“若干奖励办法”）文件精神</w:t>
      </w:r>
      <w:r>
        <w:rPr>
          <w:rFonts w:hint="eastAsia" w:ascii="仿宋_GB2312" w:hAnsi="仿宋_GB2312" w:eastAsia="仿宋_GB2312" w:cs="仿宋_GB2312"/>
          <w:color w:val="000000"/>
          <w:sz w:val="32"/>
          <w:szCs w:val="32"/>
          <w:lang w:val="en-US" w:eastAsia="zh-CN"/>
        </w:rPr>
        <w:t>,加快</w:t>
      </w:r>
      <w:r>
        <w:rPr>
          <w:rFonts w:hint="eastAsia" w:ascii="仿宋_GB2312" w:hAnsi="仿宋_GB2312" w:eastAsia="仿宋_GB2312" w:cs="仿宋_GB2312"/>
          <w:color w:val="000000"/>
          <w:sz w:val="32"/>
          <w:szCs w:val="32"/>
        </w:rPr>
        <w:t>推动海南自由贸易港建设及各项制度在我县落地生根，促进我县工业结构调整和产业优化升级，加速我县工业经济高质量发展，形成新发展格局</w:t>
      </w:r>
      <w:r>
        <w:rPr>
          <w:rFonts w:hint="eastAsia" w:ascii="仿宋_GB2312" w:hAnsi="仿宋_GB2312" w:eastAsia="仿宋_GB2312" w:cs="仿宋_GB2312"/>
          <w:color w:val="000000"/>
          <w:sz w:val="32"/>
          <w:szCs w:val="32"/>
          <w:lang w:eastAsia="zh-CN"/>
        </w:rPr>
        <w:t>，依据《若干奖励办法》</w:t>
      </w:r>
      <w:r>
        <w:rPr>
          <w:rFonts w:hint="eastAsia" w:ascii="仿宋_GB2312" w:hAnsi="仿宋_GB2312" w:eastAsia="仿宋_GB2312" w:cs="仿宋_GB2312"/>
          <w:color w:val="000000"/>
          <w:sz w:val="32"/>
          <w:szCs w:val="32"/>
        </w:rPr>
        <w:t>，制定本</w:t>
      </w:r>
      <w:r>
        <w:rPr>
          <w:rFonts w:hint="eastAsia" w:ascii="仿宋_GB2312" w:hAnsi="仿宋_GB2312" w:eastAsia="仿宋_GB2312" w:cs="仿宋_GB2312"/>
          <w:color w:val="000000"/>
          <w:sz w:val="32"/>
          <w:szCs w:val="32"/>
          <w:lang w:val="en-US" w:eastAsia="zh-CN"/>
        </w:rPr>
        <w:t>实施细则</w:t>
      </w:r>
      <w:r>
        <w:rPr>
          <w:rFonts w:hint="eastAsia" w:ascii="仿宋_GB2312" w:hAnsi="仿宋_GB2312" w:eastAsia="仿宋_GB2312" w:cs="仿宋_GB2312"/>
          <w:color w:val="000000"/>
          <w:sz w:val="32"/>
          <w:szCs w:val="32"/>
        </w:rPr>
        <w:t>。</w:t>
      </w:r>
    </w:p>
    <w:p w14:paraId="57F70C8D">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第二条</w:t>
      </w:r>
      <w:r>
        <w:rPr>
          <w:rFonts w:hint="eastAsia" w:ascii="仿宋_GB2312" w:hAnsi="仿宋_GB2312" w:eastAsia="仿宋_GB2312" w:cs="仿宋_GB2312"/>
          <w:color w:val="000000"/>
          <w:kern w:val="0"/>
          <w:sz w:val="32"/>
          <w:szCs w:val="32"/>
          <w:lang w:val="en-US" w:eastAsia="zh-CN" w:bidi="ar"/>
        </w:rPr>
        <w:t xml:space="preserve"> 本实施细则所称定安县支持工业经济和科技创新发展奖励资金（以下简称“奖励资金”）来源于2023年定安县高新技术产业发展考核奖励资金和县本级财政资金。</w:t>
      </w:r>
    </w:p>
    <w:p w14:paraId="2D29BF35">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第三条 </w:t>
      </w:r>
      <w:r>
        <w:rPr>
          <w:rFonts w:hint="eastAsia" w:ascii="仿宋_GB2312" w:hAnsi="仿宋_GB2312" w:eastAsia="仿宋_GB2312" w:cs="仿宋_GB2312"/>
          <w:color w:val="000000"/>
          <w:kern w:val="0"/>
          <w:sz w:val="32"/>
          <w:szCs w:val="32"/>
          <w:lang w:val="en-US" w:eastAsia="zh-CN" w:bidi="ar"/>
        </w:rPr>
        <w:t>县科学技术和工业信息化局负责制定实施细则，对奖励资金申请单位进行申报审核管理工作。</w:t>
      </w:r>
    </w:p>
    <w:p w14:paraId="595254EF">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第四条</w:t>
      </w:r>
      <w:r>
        <w:rPr>
          <w:rFonts w:hint="eastAsia" w:ascii="仿宋_GB2312" w:hAnsi="仿宋_GB2312" w:eastAsia="仿宋_GB2312" w:cs="仿宋_GB2312"/>
          <w:color w:val="000000"/>
          <w:kern w:val="0"/>
          <w:sz w:val="32"/>
          <w:szCs w:val="32"/>
          <w:lang w:val="en-US" w:eastAsia="zh-CN" w:bidi="ar"/>
        </w:rPr>
        <w:t xml:space="preserve"> 县财政局负责做好奖励资金的保障工作。</w:t>
      </w:r>
    </w:p>
    <w:p w14:paraId="43606D7B">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第五条 </w:t>
      </w:r>
      <w:r>
        <w:rPr>
          <w:rFonts w:hint="eastAsia" w:ascii="仿宋_GB2312" w:hAnsi="仿宋_GB2312" w:eastAsia="仿宋_GB2312" w:cs="仿宋_GB2312"/>
          <w:color w:val="000000"/>
          <w:kern w:val="0"/>
          <w:sz w:val="32"/>
          <w:szCs w:val="32"/>
          <w:lang w:val="en-US" w:eastAsia="zh-CN" w:bidi="ar"/>
        </w:rPr>
        <w:t>县审计局依法审计监督本措施执行情况以及财政资金安排使用的真实性、合法性和效益性。</w:t>
      </w:r>
    </w:p>
    <w:p w14:paraId="6D425B15">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黑体" w:hAnsi="黑体" w:eastAsia="黑体" w:cs="黑体"/>
          <w:color w:val="000000"/>
          <w:sz w:val="32"/>
          <w:szCs w:val="32"/>
        </w:rPr>
      </w:pPr>
      <w:r>
        <w:rPr>
          <w:rFonts w:hint="eastAsia" w:ascii="仿宋_GB2312" w:hAnsi="仿宋_GB2312" w:eastAsia="仿宋_GB2312" w:cs="仿宋_GB2312"/>
          <w:b/>
          <w:bCs/>
          <w:color w:val="000000"/>
          <w:kern w:val="0"/>
          <w:sz w:val="32"/>
          <w:szCs w:val="32"/>
          <w:lang w:val="en-US" w:eastAsia="zh-CN" w:bidi="ar"/>
        </w:rPr>
        <w:t>第六条</w:t>
      </w:r>
      <w:r>
        <w:rPr>
          <w:rFonts w:hint="eastAsia" w:ascii="仿宋_GB2312" w:hAnsi="仿宋_GB2312" w:eastAsia="仿宋_GB2312" w:cs="仿宋_GB2312"/>
          <w:color w:val="000000"/>
          <w:kern w:val="0"/>
          <w:sz w:val="32"/>
          <w:szCs w:val="32"/>
          <w:lang w:val="en-US" w:eastAsia="zh-CN" w:bidi="ar"/>
        </w:rPr>
        <w:t xml:space="preserve"> 申报单位须对资金申报材料的真实性、合法性、合规性承担主体责任。</w:t>
      </w:r>
    </w:p>
    <w:p w14:paraId="01596C4D">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s="黑体"/>
          <w:color w:val="000000"/>
          <w:sz w:val="32"/>
          <w:szCs w:val="32"/>
        </w:rPr>
      </w:pPr>
    </w:p>
    <w:p w14:paraId="788C1700">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s="黑体"/>
          <w:color w:val="000000"/>
          <w:sz w:val="32"/>
          <w:szCs w:val="32"/>
        </w:rPr>
      </w:pPr>
    </w:p>
    <w:p w14:paraId="28D434B0">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第二章</w:t>
      </w:r>
      <w:r>
        <w:rPr>
          <w:rFonts w:hint="eastAsia" w:ascii="黑体" w:hAnsi="黑体" w:eastAsia="黑体" w:cs="黑体"/>
          <w:color w:val="000000"/>
          <w:sz w:val="32"/>
          <w:szCs w:val="32"/>
          <w:lang w:val="en-US" w:eastAsia="zh-CN"/>
        </w:rPr>
        <w:t xml:space="preserve"> </w:t>
      </w:r>
      <w:r>
        <w:rPr>
          <w:rFonts w:hint="eastAsia" w:ascii="黑体" w:hAnsi="黑体" w:eastAsia="黑体" w:cs="黑体"/>
          <w:color w:val="000000"/>
          <w:sz w:val="32"/>
          <w:szCs w:val="32"/>
        </w:rPr>
        <w:t>奖励对象、方式与标准</w:t>
      </w:r>
    </w:p>
    <w:p w14:paraId="0E3226B4">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bidi="ar"/>
        </w:rPr>
      </w:pPr>
    </w:p>
    <w:p w14:paraId="41447237">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第七条 </w:t>
      </w:r>
      <w:r>
        <w:rPr>
          <w:rFonts w:hint="eastAsia" w:ascii="仿宋_GB2312" w:hAnsi="仿宋_GB2312" w:eastAsia="仿宋_GB2312" w:cs="仿宋_GB2312"/>
          <w:color w:val="000000"/>
          <w:kern w:val="0"/>
          <w:sz w:val="32"/>
          <w:szCs w:val="32"/>
          <w:lang w:val="en-US" w:eastAsia="zh-CN" w:bidi="ar"/>
        </w:rPr>
        <w:t>申报企业应具备以下条件：</w:t>
      </w:r>
    </w:p>
    <w:p w14:paraId="6B8098AD">
      <w:pPr>
        <w:keepNext w:val="0"/>
        <w:keepLines w:val="0"/>
        <w:widowControl/>
        <w:suppressLineNumbers w:val="0"/>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（一）2024年度在定安</w:t>
      </w:r>
      <w:r>
        <w:rPr>
          <w:rFonts w:hint="eastAsia" w:ascii="仿宋_GB2312" w:hAnsi="仿宋_GB2312" w:eastAsia="仿宋_GB2312" w:cs="仿宋_GB2312"/>
          <w:color w:val="000000"/>
          <w:sz w:val="32"/>
          <w:szCs w:val="32"/>
        </w:rPr>
        <w:t>县实际生产、运营企业，申报时未纳入国家企业信用信息公示系统经营异常名录、信用中国网严重失信主体名单，无欠缴税款，没有发生重大环境污染及重大安全生产事故,被评定为“亩均论英雄”A、B档企业。</w:t>
      </w:r>
    </w:p>
    <w:p w14:paraId="423C5A5E">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（二）申报通知或指南明确的其他条件。</w:t>
      </w:r>
    </w:p>
    <w:p w14:paraId="009ABD11">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第八条</w:t>
      </w:r>
      <w:r>
        <w:rPr>
          <w:rFonts w:hint="eastAsia" w:ascii="仿宋_GB2312" w:hAnsi="仿宋_GB2312" w:eastAsia="仿宋_GB2312" w:cs="仿宋_GB2312"/>
          <w:color w:val="000000"/>
          <w:kern w:val="0"/>
          <w:sz w:val="32"/>
          <w:szCs w:val="32"/>
          <w:lang w:val="en-US" w:eastAsia="zh-CN" w:bidi="ar"/>
        </w:rPr>
        <w:t xml:space="preserve"> 企业做大做强奖励</w:t>
      </w:r>
    </w:p>
    <w:p w14:paraId="0D4B7AF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（一）对首次升规（升规是指年产值2000万或以上，下同）并纳入统计部门联网直报的工业企业，给予该企业经营团队10万元奖励。</w:t>
      </w:r>
    </w:p>
    <w:p w14:paraId="544FD046">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鼓励制造业企业上规模，除享受省级政策扶持资金外，再给予相应的一次性奖励。对2024年产值首次突破1亿元、2亿元、4亿元、6亿元、8亿元、10亿元或以上的先进制造业企业，分别给予10万元、15万元、20万元、25万元、30万元、50万元奖励。</w:t>
      </w:r>
    </w:p>
    <w:p w14:paraId="5608B41E">
      <w:pPr>
        <w:pStyle w:val="18"/>
        <w:keepNext w:val="0"/>
        <w:keepLines w:val="0"/>
        <w:pageBreakBefore w:val="0"/>
        <w:kinsoku/>
        <w:wordWrap/>
        <w:overflowPunct/>
        <w:topLinePunct w:val="0"/>
        <w:bidi w:val="0"/>
        <w:snapToGrid/>
        <w:spacing w:line="58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color w:val="000000"/>
          <w:kern w:val="0"/>
          <w:sz w:val="32"/>
          <w:szCs w:val="32"/>
          <w:lang w:val="en-US" w:eastAsia="zh-CN" w:bidi="ar"/>
        </w:rPr>
        <w:t xml:space="preserve">第九条 </w:t>
      </w:r>
      <w:r>
        <w:rPr>
          <w:rFonts w:hint="eastAsia" w:ascii="仿宋_GB2312" w:hAnsi="仿宋_GB2312" w:eastAsia="仿宋_GB2312" w:cs="仿宋_GB2312"/>
          <w:b w:val="0"/>
          <w:bCs w:val="0"/>
          <w:color w:val="000000"/>
          <w:kern w:val="0"/>
          <w:sz w:val="32"/>
          <w:szCs w:val="32"/>
          <w:lang w:val="en-US" w:eastAsia="zh-CN" w:bidi="ar"/>
        </w:rPr>
        <w:t>培育优质企业奖励</w:t>
      </w:r>
    </w:p>
    <w:p w14:paraId="4E5E812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设立优质企业培育库，对于年产值（或者营收）达 1000万元或以上的企业申请加入优质企业培育库，一次性给予1万元奖励（除小升规、创新型中小、专精特新、小巨人、科技型中小、高新技术、种子、瞪羚、领军等企业外）。</w:t>
      </w:r>
    </w:p>
    <w:p w14:paraId="114DAC3A">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第十条 </w:t>
      </w:r>
      <w:r>
        <w:rPr>
          <w:rFonts w:hint="eastAsia" w:ascii="仿宋_GB2312" w:hAnsi="仿宋_GB2312" w:eastAsia="仿宋_GB2312" w:cs="仿宋_GB2312"/>
          <w:color w:val="000000"/>
          <w:kern w:val="0"/>
          <w:sz w:val="32"/>
          <w:szCs w:val="32"/>
          <w:lang w:val="en-US" w:eastAsia="zh-CN" w:bidi="ar"/>
        </w:rPr>
        <w:t>优质企业称号奖励</w:t>
      </w:r>
    </w:p>
    <w:p w14:paraId="73BA279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（一）初次认定为省级创新型中小企业、科技型中小企业，给予2万元奖励。</w:t>
      </w:r>
    </w:p>
    <w:p w14:paraId="7E9E8F1D">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（二）初次认定省级专精特新、高新技术企业，给予10万元奖励；复评为省级专精特新、高新技术企业，给予5万元奖励。</w:t>
      </w:r>
    </w:p>
    <w:p w14:paraId="3E76B14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（三）初次认定为国家级专精特新“小巨人”企业，给予30万元奖励；复评为国家级专精特新“小巨人”企业，给予15万元奖励。</w:t>
      </w:r>
    </w:p>
    <w:p w14:paraId="7358ECF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（四）高新技术企业“精英行动”奖励：初次认定种子、瞪羚企业，给予15万元奖励；复评为种子、瞪羚企业，给予5万元奖励；初次认定为领军企业，给予20万元奖励；复评为领军企业，给予10万元奖励。</w:t>
      </w:r>
    </w:p>
    <w:p w14:paraId="2B581731">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第十一条 </w:t>
      </w:r>
      <w:r>
        <w:rPr>
          <w:rFonts w:hint="eastAsia" w:ascii="仿宋_GB2312" w:hAnsi="仿宋_GB2312" w:eastAsia="仿宋_GB2312" w:cs="仿宋_GB2312"/>
          <w:color w:val="000000"/>
          <w:kern w:val="0"/>
          <w:sz w:val="32"/>
          <w:szCs w:val="32"/>
          <w:lang w:val="en-US" w:eastAsia="zh-CN" w:bidi="ar"/>
        </w:rPr>
        <w:t>企业创新赋能奖励</w:t>
      </w:r>
    </w:p>
    <w:p w14:paraId="399EF01F">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（一）奖励规模以上企业和研发机构研发经费增量：奖励同比上一年度研发经费增量部分的15%，最高不超过10万元。研发经费以企业所得税纳税申报表中“可加计扣除研发费”为准。</w:t>
      </w:r>
    </w:p>
    <w:p w14:paraId="5FBF5658">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（二）对认定为省级研发机构的企业和科研机构，给予 10万元奖励。</w:t>
      </w:r>
    </w:p>
    <w:p w14:paraId="2EC2E02D">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（三）对认定为国家级博士后科研工作站的企业和科研机构，给予20万元奖励。</w:t>
      </w:r>
    </w:p>
    <w:p w14:paraId="2FED1C6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（四）对认定为省级博士后创新实践基地的企业和科研机构，给予20万元奖励。</w:t>
      </w:r>
    </w:p>
    <w:p w14:paraId="610A0AAD">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第十二条 </w:t>
      </w:r>
      <w:r>
        <w:rPr>
          <w:rFonts w:hint="eastAsia" w:ascii="仿宋_GB2312" w:hAnsi="仿宋_GB2312" w:eastAsia="仿宋_GB2312" w:cs="仿宋_GB2312"/>
          <w:color w:val="000000"/>
          <w:kern w:val="0"/>
          <w:sz w:val="32"/>
          <w:szCs w:val="32"/>
          <w:lang w:val="en-US" w:eastAsia="zh-CN" w:bidi="ar"/>
        </w:rPr>
        <w:t>企业设计赋能奖励</w:t>
      </w:r>
    </w:p>
    <w:p w14:paraId="463095A3">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（一）对获得iF设计金奖、红点至尊奖的我县设计企业或企业所属设计机构，给予每项20万元奖励；对获得国家级设计奖的我县设计企业或企业所属设计机构，给予每项10万元奖励。</w:t>
      </w:r>
    </w:p>
    <w:p w14:paraId="79B26D2B">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（二）对获得海南省设计师大赛优秀奖、铜奖、银奖和金奖的企业，分别给予5万元，10万元，15万元，20万元奖励。</w:t>
      </w:r>
    </w:p>
    <w:p w14:paraId="6087A75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（三）对于认定为省级工业设计中心的企业，给予10万元一次性奖励。</w:t>
      </w:r>
    </w:p>
    <w:p w14:paraId="772492DE">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第十三条 </w:t>
      </w:r>
      <w:r>
        <w:rPr>
          <w:rFonts w:hint="eastAsia" w:ascii="仿宋_GB2312" w:hAnsi="仿宋_GB2312" w:eastAsia="仿宋_GB2312" w:cs="仿宋_GB2312"/>
          <w:color w:val="000000"/>
          <w:kern w:val="0"/>
          <w:sz w:val="32"/>
          <w:szCs w:val="32"/>
          <w:lang w:val="en-US" w:eastAsia="zh-CN" w:bidi="ar"/>
        </w:rPr>
        <w:t>企业数字化转型奖励</w:t>
      </w:r>
    </w:p>
    <w:p w14:paraId="3E9975F3">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对获得省级智能制造、服务型制造、绿色工厂等试点示范的企业，给予20万元奖励。</w:t>
      </w:r>
    </w:p>
    <w:p w14:paraId="6713871A">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第十四条 </w:t>
      </w:r>
      <w:r>
        <w:rPr>
          <w:rFonts w:hint="eastAsia" w:ascii="仿宋_GB2312" w:hAnsi="仿宋_GB2312" w:eastAsia="仿宋_GB2312" w:cs="仿宋_GB2312"/>
          <w:color w:val="000000"/>
          <w:kern w:val="0"/>
          <w:sz w:val="32"/>
          <w:szCs w:val="32"/>
          <w:lang w:val="en-US" w:eastAsia="zh-CN" w:bidi="ar"/>
        </w:rPr>
        <w:t>企业金融支持奖励</w:t>
      </w:r>
    </w:p>
    <w:p w14:paraId="7258583C">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（一）获得中国证监会核准或注册并在证券交易所成功发行的企业，给予60万元奖励。</w:t>
      </w:r>
    </w:p>
    <w:p w14:paraId="793A366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（二）对成功在省内区域性股权交易中心挂牌的企业，给予10万元奖励。</w:t>
      </w:r>
    </w:p>
    <w:p w14:paraId="635875A4">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 xml:space="preserve">第十五条 </w:t>
      </w:r>
      <w:r>
        <w:rPr>
          <w:rFonts w:hint="eastAsia" w:ascii="仿宋_GB2312" w:hAnsi="仿宋_GB2312" w:eastAsia="仿宋_GB2312" w:cs="仿宋_GB2312"/>
          <w:color w:val="000000"/>
          <w:kern w:val="0"/>
          <w:sz w:val="32"/>
          <w:szCs w:val="32"/>
          <w:highlight w:val="none"/>
          <w:lang w:val="en-US" w:eastAsia="zh-CN" w:bidi="ar"/>
        </w:rPr>
        <w:t>企业申报加工增值内销免关税政策试点、进口“零关税”自用生产设备奖励</w:t>
      </w:r>
    </w:p>
    <w:p w14:paraId="0647C606">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（一）对于获批加工增值内销免关税政策试点企业，给予2万元奖励。</w:t>
      </w:r>
    </w:p>
    <w:p w14:paraId="694DB8F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（二）对于进口“零关税”自用生产设备企业，给予2万元奖励。</w:t>
      </w:r>
    </w:p>
    <w:p w14:paraId="03776976">
      <w:pPr>
        <w:keepNext w:val="0"/>
        <w:keepLines w:val="0"/>
        <w:pageBreakBefore w:val="0"/>
        <w:widowControl/>
        <w:suppressLineNumbers w:val="0"/>
        <w:kinsoku/>
        <w:wordWrap/>
        <w:overflowPunct/>
        <w:topLinePunct w:val="0"/>
        <w:bidi w:val="0"/>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第十六条 </w:t>
      </w:r>
      <w:r>
        <w:rPr>
          <w:rFonts w:hint="eastAsia" w:ascii="仿宋_GB2312" w:hAnsi="仿宋_GB2312" w:eastAsia="仿宋_GB2312" w:cs="仿宋_GB2312"/>
          <w:color w:val="000000"/>
          <w:kern w:val="0"/>
          <w:sz w:val="32"/>
          <w:szCs w:val="32"/>
          <w:lang w:val="en-US" w:eastAsia="zh-CN" w:bidi="ar"/>
        </w:rPr>
        <w:t>重大项目一事一议奖励</w:t>
      </w:r>
    </w:p>
    <w:p w14:paraId="313CBE53">
      <w:pPr>
        <w:keepNext w:val="0"/>
        <w:keepLines w:val="0"/>
        <w:pageBreakBefore w:val="0"/>
        <w:widowControl/>
        <w:suppressLineNumbers w:val="0"/>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对特别重大的产业项目，或对于产值和税收明显超过最低考核标准的项目纳入一事一议范围，给予贡献奖励。</w:t>
      </w:r>
    </w:p>
    <w:p w14:paraId="694BE173">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s="黑体"/>
          <w:color w:val="000000"/>
          <w:sz w:val="32"/>
          <w:szCs w:val="32"/>
        </w:rPr>
      </w:pPr>
    </w:p>
    <w:p w14:paraId="701661D8">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val="en-US" w:eastAsia="zh-CN"/>
        </w:rPr>
        <w:t>三</w:t>
      </w:r>
      <w:r>
        <w:rPr>
          <w:rFonts w:hint="eastAsia" w:ascii="黑体" w:hAnsi="黑体" w:eastAsia="黑体" w:cs="黑体"/>
          <w:color w:val="000000"/>
          <w:sz w:val="32"/>
          <w:szCs w:val="32"/>
        </w:rPr>
        <w:t>章</w:t>
      </w:r>
      <w:r>
        <w:rPr>
          <w:rFonts w:hint="eastAsia" w:ascii="黑体" w:hAnsi="黑体" w:eastAsia="黑体" w:cs="黑体"/>
          <w:color w:val="000000"/>
          <w:sz w:val="32"/>
          <w:szCs w:val="32"/>
          <w:lang w:val="en-US" w:eastAsia="zh-CN"/>
        </w:rPr>
        <w:t xml:space="preserve"> 申报程序</w:t>
      </w:r>
    </w:p>
    <w:p w14:paraId="4B12534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p>
    <w:p w14:paraId="77FAD2DB">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（一）组织申报。县科学技术和工业信息化局印发申报指南（附件1），组织满足条件企业申报。申报企业根据申报指南进行申报。</w:t>
      </w:r>
    </w:p>
    <w:p w14:paraId="5AFA037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（二）审核评审。县科学技术和工业信息化局对申报材料的完整性、合规性、真实性进行审核，审核通过后，确定予以支持的企业和资金奖励额度。</w:t>
      </w:r>
    </w:p>
    <w:p w14:paraId="509556E8">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（三）结果公示。拟支持的企业和资金额度在定安县人民政府门户网站公示，公示期为5个工作日。</w:t>
      </w:r>
    </w:p>
    <w:p w14:paraId="5564010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（四）资金拨付。公示无异议后，县科学技术和工业信息化局根据定安县财政资金的有关拨付程序拨付申报企业。</w:t>
      </w:r>
    </w:p>
    <w:p w14:paraId="5B16B178">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s="黑体"/>
          <w:color w:val="000000"/>
          <w:sz w:val="32"/>
          <w:szCs w:val="32"/>
          <w:lang w:val="en-US" w:eastAsia="zh-CN"/>
        </w:rPr>
      </w:pPr>
    </w:p>
    <w:p w14:paraId="1FE4C3EE">
      <w:pPr>
        <w:pStyle w:val="4"/>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第四章 监督与管理</w:t>
      </w:r>
    </w:p>
    <w:p w14:paraId="75947A34">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bCs/>
          <w:color w:val="000000"/>
          <w:kern w:val="0"/>
          <w:sz w:val="32"/>
          <w:szCs w:val="32"/>
          <w:lang w:val="en-US" w:eastAsia="zh-CN" w:bidi="ar"/>
        </w:rPr>
      </w:pPr>
    </w:p>
    <w:p w14:paraId="09C6FC96">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第十七条</w:t>
      </w:r>
      <w:r>
        <w:rPr>
          <w:rFonts w:hint="eastAsia" w:ascii="仿宋_GB2312" w:hAnsi="仿宋_GB2312" w:eastAsia="仿宋_GB2312" w:cs="仿宋_GB2312"/>
          <w:color w:val="000000"/>
          <w:kern w:val="0"/>
          <w:sz w:val="32"/>
          <w:szCs w:val="32"/>
          <w:lang w:val="en-US" w:eastAsia="zh-CN" w:bidi="ar"/>
        </w:rPr>
        <w:t xml:space="preserve"> 申报企业不得提供虚假材料骗取奖励资金。</w:t>
      </w:r>
    </w:p>
    <w:p w14:paraId="316C2AAE">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第十八条</w:t>
      </w:r>
      <w:r>
        <w:rPr>
          <w:rFonts w:hint="eastAsia" w:ascii="仿宋_GB2312" w:hAnsi="仿宋_GB2312" w:eastAsia="仿宋_GB2312" w:cs="仿宋_GB2312"/>
          <w:color w:val="000000"/>
          <w:kern w:val="0"/>
          <w:sz w:val="32"/>
          <w:szCs w:val="32"/>
          <w:lang w:val="en-US" w:eastAsia="zh-CN" w:bidi="ar"/>
        </w:rPr>
        <w:t xml:space="preserve"> 获得支持的企业，奖励资金要用于企业的生产经营和推动企业发展，并遵守国家有关财务会计制度，积极配合有关部门开展监督检查。</w:t>
      </w:r>
    </w:p>
    <w:p w14:paraId="5B208A0A">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 xml:space="preserve">第十九条 </w:t>
      </w:r>
      <w:r>
        <w:rPr>
          <w:rFonts w:hint="eastAsia" w:ascii="仿宋_GB2312" w:hAnsi="仿宋_GB2312" w:eastAsia="仿宋_GB2312" w:cs="仿宋_GB2312"/>
          <w:color w:val="000000"/>
          <w:kern w:val="0"/>
          <w:sz w:val="32"/>
          <w:szCs w:val="32"/>
          <w:highlight w:val="none"/>
          <w:lang w:val="en-US" w:eastAsia="zh-CN" w:bidi="ar"/>
        </w:rPr>
        <w:t>凡违</w:t>
      </w:r>
      <w:r>
        <w:rPr>
          <w:rFonts w:hint="eastAsia" w:ascii="仿宋_GB2312" w:hAnsi="仿宋_GB2312" w:eastAsia="仿宋_GB2312" w:cs="仿宋_GB2312"/>
          <w:color w:val="auto"/>
          <w:kern w:val="0"/>
          <w:sz w:val="32"/>
          <w:szCs w:val="32"/>
          <w:highlight w:val="none"/>
          <w:shd w:val="clear" w:color="auto" w:fill="auto"/>
          <w:lang w:val="en-US" w:eastAsia="zh-CN" w:bidi="ar"/>
        </w:rPr>
        <w:t>反本细则第十七条、第十八条规定的企</w:t>
      </w:r>
      <w:r>
        <w:rPr>
          <w:rFonts w:hint="eastAsia" w:ascii="仿宋_GB2312" w:hAnsi="仿宋_GB2312" w:eastAsia="仿宋_GB2312" w:cs="仿宋_GB2312"/>
          <w:color w:val="000000"/>
          <w:kern w:val="0"/>
          <w:sz w:val="32"/>
          <w:szCs w:val="32"/>
          <w:highlight w:val="none"/>
          <w:lang w:val="en-US" w:eastAsia="zh-CN" w:bidi="ar"/>
        </w:rPr>
        <w:t>业，一律取消当年享受上述政策的资格，对已经发放的，一律予以收回，并依法追究相关责任人员的责任。</w:t>
      </w:r>
    </w:p>
    <w:p w14:paraId="6FC03094">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 xml:space="preserve">第二十条 </w:t>
      </w:r>
      <w:r>
        <w:rPr>
          <w:rFonts w:hint="eastAsia" w:ascii="仿宋_GB2312" w:hAnsi="仿宋_GB2312" w:eastAsia="仿宋_GB2312" w:cs="仿宋_GB2312"/>
          <w:color w:val="000000"/>
          <w:kern w:val="0"/>
          <w:sz w:val="32"/>
          <w:szCs w:val="32"/>
          <w:lang w:val="en-US" w:eastAsia="zh-CN" w:bidi="ar"/>
        </w:rPr>
        <w:t>县科学技术和工业信息化局、县财政局应当按照全面实施预算绩效管理的有关要求，做好年度绩效评价，并加强绩效评价结果应用。</w:t>
      </w:r>
    </w:p>
    <w:p w14:paraId="5B7681F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p>
    <w:p w14:paraId="551443B4">
      <w:pPr>
        <w:pStyle w:val="4"/>
        <w:keepNext w:val="0"/>
        <w:keepLines w:val="0"/>
        <w:pageBreakBefore w:val="0"/>
        <w:widowControl/>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jc w:val="center"/>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第五章 附则</w:t>
      </w:r>
    </w:p>
    <w:p w14:paraId="50D2A0C8">
      <w:pPr>
        <w:pStyle w:val="4"/>
        <w:keepNext w:val="0"/>
        <w:keepLines w:val="0"/>
        <w:pageBreakBefore w:val="0"/>
        <w:widowControl/>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80" w:lineRule="exact"/>
        <w:jc w:val="both"/>
        <w:textAlignment w:val="auto"/>
        <w:rPr>
          <w:rFonts w:hint="eastAsia" w:ascii="黑体" w:hAnsi="黑体" w:eastAsia="黑体" w:cs="黑体"/>
          <w:color w:val="000000"/>
          <w:sz w:val="32"/>
          <w:szCs w:val="32"/>
          <w:lang w:val="en-US" w:eastAsia="zh-CN"/>
        </w:rPr>
      </w:pPr>
    </w:p>
    <w:p w14:paraId="5E2F7BD1">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第二十一条</w:t>
      </w:r>
      <w:r>
        <w:rPr>
          <w:rFonts w:hint="eastAsia" w:ascii="仿宋_GB2312" w:hAnsi="仿宋_GB2312" w:eastAsia="仿宋_GB2312" w:cs="仿宋_GB2312"/>
          <w:color w:val="000000"/>
          <w:kern w:val="0"/>
          <w:sz w:val="32"/>
          <w:szCs w:val="32"/>
          <w:lang w:val="en-US" w:eastAsia="zh-CN" w:bidi="ar"/>
        </w:rPr>
        <w:t xml:space="preserve"> 本实施细则由县科学技术和工业信息化局负责解释。</w:t>
      </w:r>
    </w:p>
    <w:p w14:paraId="20848470">
      <w:pPr>
        <w:keepNext w:val="0"/>
        <w:keepLines w:val="0"/>
        <w:pageBreakBefore w:val="0"/>
        <w:widowControl w:val="0"/>
        <w:kinsoku/>
        <w:wordWrap/>
        <w:overflowPunct/>
        <w:topLinePunct w:val="0"/>
        <w:autoSpaceDE/>
        <w:autoSpaceDN/>
        <w:bidi w:val="0"/>
        <w:adjustRightInd/>
        <w:snapToGrid/>
        <w:spacing w:line="240" w:lineRule="atLeast"/>
        <w:ind w:firstLine="643" w:firstLineChars="200"/>
        <w:jc w:val="left"/>
        <w:textAlignment w:val="auto"/>
        <w:rPr>
          <w:rFonts w:hint="eastAsia" w:ascii="仿宋_GB2312" w:hAnsi="仿宋_GB2312" w:eastAsia="仿宋_GB2312" w:cs="仿宋_GB2312"/>
          <w:color w:val="auto"/>
          <w:spacing w:val="9"/>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bCs/>
          <w:color w:val="000000"/>
          <w:kern w:val="0"/>
          <w:sz w:val="32"/>
          <w:szCs w:val="32"/>
          <w:lang w:val="en-US" w:eastAsia="zh-CN" w:bidi="ar"/>
        </w:rPr>
        <w:t xml:space="preserve">第二十二条 </w:t>
      </w:r>
      <w:r>
        <w:rPr>
          <w:rFonts w:hint="eastAsia" w:ascii="仿宋_GB2312" w:hAnsi="仿宋_GB2312" w:eastAsia="仿宋_GB2312" w:cs="仿宋_GB2312"/>
          <w:color w:val="000000"/>
          <w:kern w:val="0"/>
          <w:sz w:val="32"/>
          <w:szCs w:val="32"/>
          <w:lang w:val="en-US" w:eastAsia="zh-CN" w:bidi="ar"/>
        </w:rPr>
        <w:t>本实施细则自《奖励办法》公布之日起 30 日以后执行，实施至 2025年 12月 31 日。资金奖补起始时间认定和测算从2024年1月1日起。</w:t>
      </w:r>
    </w:p>
    <w:p w14:paraId="2F543000">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ascii="黑体" w:hAnsi="黑体" w:eastAsia="黑体" w:cs="黑体"/>
          <w:color w:val="auto"/>
          <w:spacing w:val="9"/>
          <w:sz w:val="32"/>
          <w:szCs w:val="32"/>
          <w:lang w:val="en-US" w:eastAsia="zh-CN"/>
        </w:rPr>
      </w:pPr>
      <w:r>
        <w:rPr>
          <w:rFonts w:hint="eastAsia" w:ascii="黑体" w:hAnsi="黑体" w:eastAsia="黑体" w:cs="黑体"/>
          <w:color w:val="auto"/>
          <w:spacing w:val="9"/>
          <w:sz w:val="32"/>
          <w:szCs w:val="32"/>
          <w:lang w:val="en-US" w:eastAsia="zh-CN"/>
        </w:rPr>
        <w:t>附件2</w:t>
      </w:r>
    </w:p>
    <w:p w14:paraId="0511FB9F">
      <w:pPr>
        <w:keepNext w:val="0"/>
        <w:keepLines w:val="0"/>
        <w:pageBreakBefore w:val="0"/>
        <w:widowControl w:val="0"/>
        <w:kinsoku/>
        <w:wordWrap/>
        <w:overflowPunct/>
        <w:topLinePunct w:val="0"/>
        <w:autoSpaceDE/>
        <w:autoSpaceDN/>
        <w:bidi w:val="0"/>
        <w:adjustRightInd/>
        <w:snapToGrid/>
        <w:spacing w:before="222" w:line="240" w:lineRule="atLeast"/>
        <w:jc w:val="center"/>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6"/>
          <w:szCs w:val="36"/>
          <w:lang w:val="en-US" w:eastAsia="zh-CN"/>
        </w:rPr>
        <w:t>定安县支持工业经济和科技创新发展奖励申报表</w:t>
      </w:r>
    </w:p>
    <w:p w14:paraId="4C749157">
      <w:pPr>
        <w:keepNext w:val="0"/>
        <w:keepLines w:val="0"/>
        <w:pageBreakBefore w:val="0"/>
        <w:widowControl w:val="0"/>
        <w:kinsoku/>
        <w:wordWrap/>
        <w:overflowPunct/>
        <w:topLinePunct w:val="0"/>
        <w:autoSpaceDE/>
        <w:autoSpaceDN/>
        <w:bidi w:val="0"/>
        <w:adjustRightInd/>
        <w:snapToGrid/>
        <w:spacing w:before="222" w:line="240" w:lineRule="atLeast"/>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申请日期：</w:t>
      </w:r>
      <w:r>
        <w:rPr>
          <w:rFonts w:hint="eastAsia" w:ascii="仿宋_GB2312" w:hAnsi="仿宋_GB2312" w:eastAsia="仿宋_GB2312" w:cs="仿宋_GB2312"/>
          <w:color w:val="auto"/>
          <w:spacing w:val="21"/>
          <w:sz w:val="21"/>
          <w:szCs w:val="21"/>
        </w:rPr>
        <w:t xml:space="preserve">   </w:t>
      </w:r>
      <w:r>
        <w:rPr>
          <w:rFonts w:hint="eastAsia" w:ascii="仿宋_GB2312" w:hAnsi="仿宋_GB2312" w:eastAsia="仿宋_GB2312" w:cs="仿宋_GB2312"/>
          <w:color w:val="auto"/>
          <w:spacing w:val="-3"/>
          <w:sz w:val="21"/>
          <w:szCs w:val="21"/>
        </w:rPr>
        <w:t>年</w:t>
      </w:r>
      <w:r>
        <w:rPr>
          <w:rFonts w:hint="eastAsia" w:ascii="仿宋_GB2312" w:hAnsi="仿宋_GB2312" w:eastAsia="仿宋_GB2312" w:cs="仿宋_GB2312"/>
          <w:color w:val="auto"/>
          <w:spacing w:val="18"/>
          <w:sz w:val="21"/>
          <w:szCs w:val="21"/>
        </w:rPr>
        <w:t xml:space="preserve">  </w:t>
      </w:r>
      <w:r>
        <w:rPr>
          <w:rFonts w:hint="eastAsia" w:ascii="仿宋_GB2312" w:hAnsi="仿宋_GB2312" w:eastAsia="仿宋_GB2312" w:cs="仿宋_GB2312"/>
          <w:color w:val="auto"/>
          <w:spacing w:val="-3"/>
          <w:sz w:val="21"/>
          <w:szCs w:val="21"/>
        </w:rPr>
        <w:t>月</w:t>
      </w:r>
      <w:r>
        <w:rPr>
          <w:rFonts w:hint="eastAsia" w:ascii="仿宋_GB2312" w:hAnsi="仿宋_GB2312" w:eastAsia="仿宋_GB2312" w:cs="仿宋_GB2312"/>
          <w:color w:val="auto"/>
          <w:spacing w:val="32"/>
          <w:sz w:val="21"/>
          <w:szCs w:val="21"/>
        </w:rPr>
        <w:t xml:space="preserve">  </w:t>
      </w:r>
      <w:r>
        <w:rPr>
          <w:rFonts w:hint="eastAsia" w:ascii="仿宋_GB2312" w:hAnsi="仿宋_GB2312" w:eastAsia="仿宋_GB2312" w:cs="仿宋_GB2312"/>
          <w:color w:val="auto"/>
          <w:spacing w:val="-3"/>
          <w:sz w:val="21"/>
          <w:szCs w:val="21"/>
        </w:rPr>
        <w:t xml:space="preserve">日                                         </w:t>
      </w:r>
      <w:r>
        <w:rPr>
          <w:rFonts w:hint="eastAsia" w:ascii="仿宋_GB2312" w:hAnsi="仿宋_GB2312" w:eastAsia="仿宋_GB2312" w:cs="仿宋_GB2312"/>
          <w:color w:val="auto"/>
          <w:spacing w:val="-3"/>
          <w:sz w:val="21"/>
          <w:szCs w:val="21"/>
          <w:lang w:val="en-US" w:eastAsia="zh-CN"/>
        </w:rPr>
        <w:t xml:space="preserve">   </w:t>
      </w:r>
      <w:r>
        <w:rPr>
          <w:rFonts w:hint="eastAsia" w:ascii="仿宋_GB2312" w:hAnsi="仿宋_GB2312" w:eastAsia="仿宋_GB2312" w:cs="仿宋_GB2312"/>
          <w:color w:val="auto"/>
          <w:spacing w:val="-3"/>
          <w:sz w:val="21"/>
          <w:szCs w:val="21"/>
        </w:rPr>
        <w:t>单</w:t>
      </w:r>
      <w:r>
        <w:rPr>
          <w:rFonts w:hint="eastAsia" w:ascii="仿宋_GB2312" w:hAnsi="仿宋_GB2312" w:eastAsia="仿宋_GB2312" w:cs="仿宋_GB2312"/>
          <w:color w:val="auto"/>
          <w:spacing w:val="-4"/>
          <w:sz w:val="21"/>
          <w:szCs w:val="21"/>
        </w:rPr>
        <w:t>位：万元</w:t>
      </w:r>
    </w:p>
    <w:p w14:paraId="4F004C99">
      <w:pPr>
        <w:spacing w:line="37" w:lineRule="exact"/>
        <w:rPr>
          <w:color w:val="auto"/>
        </w:rPr>
      </w:pPr>
    </w:p>
    <w:tbl>
      <w:tblPr>
        <w:tblStyle w:val="17"/>
        <w:tblW w:w="501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081"/>
        <w:gridCol w:w="2078"/>
        <w:gridCol w:w="1037"/>
        <w:gridCol w:w="1040"/>
        <w:gridCol w:w="2101"/>
      </w:tblGrid>
      <w:tr w14:paraId="28C3A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jc w:val="center"/>
        </w:trPr>
        <w:tc>
          <w:tcPr>
            <w:tcW w:w="1248" w:type="pct"/>
            <w:noWrap w:val="0"/>
            <w:vAlign w:val="center"/>
          </w:tcPr>
          <w:p w14:paraId="02EB89D8">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color w:val="auto"/>
              </w:rPr>
            </w:pPr>
            <w:r>
              <w:rPr>
                <w:rFonts w:hint="eastAsia" w:ascii="仿宋_GB2312" w:hAnsi="仿宋_GB2312" w:eastAsia="仿宋_GB2312" w:cs="仿宋_GB2312"/>
                <w:color w:val="auto"/>
                <w:spacing w:val="6"/>
                <w:sz w:val="21"/>
                <w:szCs w:val="21"/>
              </w:rPr>
              <w:t>企业名称</w:t>
            </w:r>
          </w:p>
        </w:tc>
        <w:tc>
          <w:tcPr>
            <w:tcW w:w="1246" w:type="pct"/>
            <w:noWrap w:val="0"/>
            <w:vAlign w:val="center"/>
          </w:tcPr>
          <w:p w14:paraId="507CC147">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c>
          <w:tcPr>
            <w:tcW w:w="1246" w:type="pct"/>
            <w:gridSpan w:val="2"/>
            <w:noWrap w:val="0"/>
            <w:vAlign w:val="center"/>
          </w:tcPr>
          <w:p w14:paraId="444ABB19">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color w:val="auto"/>
              </w:rPr>
            </w:pPr>
            <w:r>
              <w:rPr>
                <w:rFonts w:hint="eastAsia" w:ascii="仿宋_GB2312" w:hAnsi="仿宋_GB2312" w:eastAsia="仿宋_GB2312" w:cs="仿宋_GB2312"/>
                <w:color w:val="auto"/>
                <w:spacing w:val="6"/>
                <w:sz w:val="21"/>
                <w:szCs w:val="21"/>
              </w:rPr>
              <w:t>项目备案名称</w:t>
            </w:r>
          </w:p>
        </w:tc>
        <w:tc>
          <w:tcPr>
            <w:tcW w:w="1259" w:type="pct"/>
            <w:noWrap w:val="0"/>
            <w:vAlign w:val="center"/>
          </w:tcPr>
          <w:p w14:paraId="13A0C98A">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r>
      <w:tr w14:paraId="1A4F6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1248" w:type="pct"/>
            <w:noWrap w:val="0"/>
            <w:vAlign w:val="center"/>
          </w:tcPr>
          <w:p w14:paraId="2ECAC91C">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color w:val="auto"/>
              </w:rPr>
            </w:pPr>
            <w:r>
              <w:rPr>
                <w:rFonts w:hint="eastAsia" w:ascii="仿宋_GB2312" w:hAnsi="仿宋_GB2312" w:eastAsia="仿宋_GB2312" w:cs="仿宋_GB2312"/>
                <w:color w:val="auto"/>
                <w:spacing w:val="6"/>
                <w:sz w:val="21"/>
                <w:szCs w:val="21"/>
              </w:rPr>
              <w:t>统一社会信用代码</w:t>
            </w:r>
          </w:p>
        </w:tc>
        <w:tc>
          <w:tcPr>
            <w:tcW w:w="1246" w:type="pct"/>
            <w:noWrap w:val="0"/>
            <w:vAlign w:val="center"/>
          </w:tcPr>
          <w:p w14:paraId="5EB41A7D">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c>
          <w:tcPr>
            <w:tcW w:w="1246" w:type="pct"/>
            <w:gridSpan w:val="2"/>
            <w:noWrap w:val="0"/>
            <w:vAlign w:val="center"/>
          </w:tcPr>
          <w:p w14:paraId="160C48CE">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rFonts w:hint="eastAsia" w:eastAsia="FangSong_GB2312"/>
                <w:color w:val="auto"/>
                <w:lang w:eastAsia="zh-CN"/>
              </w:rPr>
            </w:pPr>
            <w:r>
              <w:rPr>
                <w:rFonts w:hint="eastAsia" w:ascii="仿宋_GB2312" w:hAnsi="仿宋_GB2312" w:eastAsia="仿宋_GB2312" w:cs="仿宋_GB2312"/>
                <w:color w:val="auto"/>
                <w:spacing w:val="6"/>
                <w:sz w:val="21"/>
                <w:szCs w:val="21"/>
              </w:rPr>
              <w:t>项目所属地</w:t>
            </w:r>
            <w:r>
              <w:rPr>
                <w:rFonts w:hint="eastAsia" w:ascii="仿宋_GB2312" w:hAnsi="仿宋_GB2312" w:eastAsia="仿宋_GB2312" w:cs="仿宋_GB2312"/>
                <w:color w:val="auto"/>
                <w:spacing w:val="6"/>
                <w:sz w:val="21"/>
                <w:szCs w:val="21"/>
                <w:lang w:eastAsia="zh-CN"/>
              </w:rPr>
              <w:t>（</w:t>
            </w:r>
            <w:r>
              <w:rPr>
                <w:rFonts w:hint="eastAsia" w:ascii="仿宋_GB2312" w:hAnsi="仿宋_GB2312" w:eastAsia="仿宋_GB2312" w:cs="仿宋_GB2312"/>
                <w:color w:val="auto"/>
                <w:spacing w:val="6"/>
                <w:sz w:val="21"/>
                <w:szCs w:val="21"/>
                <w:lang w:val="en-US" w:eastAsia="zh-CN"/>
              </w:rPr>
              <w:t>乡镇</w:t>
            </w:r>
            <w:r>
              <w:rPr>
                <w:rFonts w:hint="eastAsia" w:ascii="仿宋_GB2312" w:hAnsi="仿宋_GB2312" w:eastAsia="仿宋_GB2312" w:cs="仿宋_GB2312"/>
                <w:color w:val="auto"/>
                <w:spacing w:val="6"/>
                <w:sz w:val="21"/>
                <w:szCs w:val="21"/>
                <w:lang w:eastAsia="zh-CN"/>
              </w:rPr>
              <w:t>）</w:t>
            </w:r>
          </w:p>
        </w:tc>
        <w:tc>
          <w:tcPr>
            <w:tcW w:w="1259" w:type="pct"/>
            <w:noWrap w:val="0"/>
            <w:vAlign w:val="center"/>
          </w:tcPr>
          <w:p w14:paraId="20815908">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r>
      <w:tr w14:paraId="657CA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jc w:val="center"/>
        </w:trPr>
        <w:tc>
          <w:tcPr>
            <w:tcW w:w="1248" w:type="pct"/>
            <w:noWrap w:val="0"/>
            <w:vAlign w:val="center"/>
          </w:tcPr>
          <w:p w14:paraId="3E0FBC94">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color w:val="auto"/>
              </w:rPr>
            </w:pPr>
            <w:r>
              <w:rPr>
                <w:rFonts w:hint="eastAsia" w:ascii="仿宋_GB2312" w:hAnsi="仿宋_GB2312" w:eastAsia="仿宋_GB2312" w:cs="仿宋_GB2312"/>
                <w:color w:val="auto"/>
                <w:spacing w:val="6"/>
                <w:sz w:val="21"/>
                <w:szCs w:val="21"/>
              </w:rPr>
              <w:t>企业开户名称</w:t>
            </w:r>
          </w:p>
        </w:tc>
        <w:tc>
          <w:tcPr>
            <w:tcW w:w="1246" w:type="pct"/>
            <w:noWrap w:val="0"/>
            <w:vAlign w:val="center"/>
          </w:tcPr>
          <w:p w14:paraId="78108E74">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c>
          <w:tcPr>
            <w:tcW w:w="1246" w:type="pct"/>
            <w:gridSpan w:val="2"/>
            <w:noWrap w:val="0"/>
            <w:vAlign w:val="center"/>
          </w:tcPr>
          <w:p w14:paraId="691F22DC">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color w:val="auto"/>
              </w:rPr>
            </w:pPr>
            <w:r>
              <w:rPr>
                <w:rFonts w:hint="eastAsia" w:ascii="仿宋_GB2312" w:hAnsi="仿宋_GB2312" w:eastAsia="仿宋_GB2312" w:cs="仿宋_GB2312"/>
                <w:color w:val="auto"/>
                <w:spacing w:val="6"/>
                <w:sz w:val="21"/>
                <w:szCs w:val="21"/>
              </w:rPr>
              <w:t>企业开户银行</w:t>
            </w:r>
          </w:p>
        </w:tc>
        <w:tc>
          <w:tcPr>
            <w:tcW w:w="1259" w:type="pct"/>
            <w:noWrap w:val="0"/>
            <w:vAlign w:val="center"/>
          </w:tcPr>
          <w:p w14:paraId="640F80E9">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r>
      <w:tr w14:paraId="0ED0D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1248" w:type="pct"/>
            <w:noWrap w:val="0"/>
            <w:vAlign w:val="center"/>
          </w:tcPr>
          <w:p w14:paraId="05F0FDB4">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color w:val="auto"/>
              </w:rPr>
            </w:pPr>
            <w:r>
              <w:rPr>
                <w:rFonts w:hint="eastAsia" w:ascii="仿宋_GB2312" w:hAnsi="仿宋_GB2312" w:eastAsia="仿宋_GB2312" w:cs="仿宋_GB2312"/>
                <w:color w:val="auto"/>
                <w:spacing w:val="6"/>
                <w:sz w:val="21"/>
                <w:szCs w:val="21"/>
              </w:rPr>
              <w:t>开户银行账号</w:t>
            </w:r>
          </w:p>
        </w:tc>
        <w:tc>
          <w:tcPr>
            <w:tcW w:w="1246" w:type="pct"/>
            <w:noWrap w:val="0"/>
            <w:vAlign w:val="center"/>
          </w:tcPr>
          <w:p w14:paraId="416976F4">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c>
          <w:tcPr>
            <w:tcW w:w="1246" w:type="pct"/>
            <w:gridSpan w:val="2"/>
            <w:noWrap w:val="0"/>
            <w:vAlign w:val="center"/>
          </w:tcPr>
          <w:p w14:paraId="2941447F">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color w:val="auto"/>
              </w:rPr>
            </w:pPr>
            <w:r>
              <w:rPr>
                <w:rFonts w:hint="eastAsia" w:ascii="仿宋_GB2312" w:hAnsi="仿宋_GB2312" w:eastAsia="仿宋_GB2312" w:cs="仿宋_GB2312"/>
                <w:color w:val="auto"/>
                <w:spacing w:val="6"/>
                <w:sz w:val="21"/>
                <w:szCs w:val="21"/>
              </w:rPr>
              <w:t>地址</w:t>
            </w:r>
          </w:p>
        </w:tc>
        <w:tc>
          <w:tcPr>
            <w:tcW w:w="1259" w:type="pct"/>
            <w:noWrap w:val="0"/>
            <w:vAlign w:val="center"/>
          </w:tcPr>
          <w:p w14:paraId="6F54B886">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r>
      <w:tr w14:paraId="6FC26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1248" w:type="pct"/>
            <w:noWrap w:val="0"/>
            <w:vAlign w:val="center"/>
          </w:tcPr>
          <w:p w14:paraId="3CA041AA">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color w:val="auto"/>
              </w:rPr>
            </w:pPr>
            <w:r>
              <w:rPr>
                <w:rFonts w:hint="eastAsia" w:ascii="仿宋_GB2312" w:hAnsi="仿宋_GB2312" w:eastAsia="仿宋_GB2312" w:cs="仿宋_GB2312"/>
                <w:color w:val="auto"/>
                <w:spacing w:val="6"/>
                <w:sz w:val="21"/>
                <w:szCs w:val="21"/>
              </w:rPr>
              <w:t>经办人及手机号码</w:t>
            </w:r>
          </w:p>
        </w:tc>
        <w:tc>
          <w:tcPr>
            <w:tcW w:w="3751" w:type="pct"/>
            <w:gridSpan w:val="4"/>
            <w:noWrap w:val="0"/>
            <w:vAlign w:val="center"/>
          </w:tcPr>
          <w:p w14:paraId="1572EA28">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r>
      <w:tr w14:paraId="4BC559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1248" w:type="pct"/>
            <w:noWrap w:val="0"/>
            <w:vAlign w:val="center"/>
          </w:tcPr>
          <w:p w14:paraId="0ABB5549">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rFonts w:ascii="仿宋" w:hAnsi="仿宋" w:eastAsia="仿宋" w:cs="仿宋"/>
                <w:color w:val="auto"/>
                <w:sz w:val="19"/>
                <w:szCs w:val="19"/>
              </w:rPr>
            </w:pPr>
            <w:r>
              <w:rPr>
                <w:rFonts w:hint="eastAsia" w:ascii="仿宋_GB2312" w:hAnsi="仿宋_GB2312" w:eastAsia="仿宋_GB2312" w:cs="仿宋_GB2312"/>
                <w:b/>
                <w:bCs/>
                <w:color w:val="auto"/>
                <w:spacing w:val="6"/>
                <w:sz w:val="21"/>
                <w:szCs w:val="21"/>
                <w:lang w:val="en-US" w:eastAsia="zh-CN"/>
              </w:rPr>
              <w:t>申请奖励类型</w:t>
            </w:r>
          </w:p>
        </w:tc>
        <w:tc>
          <w:tcPr>
            <w:tcW w:w="1868" w:type="pct"/>
            <w:gridSpan w:val="2"/>
            <w:noWrap w:val="0"/>
            <w:vAlign w:val="center"/>
          </w:tcPr>
          <w:p w14:paraId="1BE914F0">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rFonts w:hint="eastAsia" w:ascii="仿宋" w:hAnsi="仿宋" w:eastAsia="仿宋" w:cs="仿宋"/>
                <w:color w:val="auto"/>
                <w:sz w:val="19"/>
                <w:szCs w:val="19"/>
                <w:lang w:eastAsia="zh-CN"/>
              </w:rPr>
            </w:pPr>
            <w:r>
              <w:rPr>
                <w:rFonts w:hint="eastAsia" w:ascii="仿宋_GB2312" w:hAnsi="仿宋_GB2312" w:eastAsia="仿宋_GB2312" w:cs="仿宋_GB2312"/>
                <w:b/>
                <w:bCs/>
                <w:color w:val="auto"/>
                <w:spacing w:val="6"/>
                <w:sz w:val="21"/>
                <w:szCs w:val="21"/>
                <w:lang w:val="en-US" w:eastAsia="zh-CN"/>
              </w:rPr>
              <w:t>企业申报金额（万元）</w:t>
            </w:r>
          </w:p>
        </w:tc>
        <w:tc>
          <w:tcPr>
            <w:tcW w:w="1882" w:type="pct"/>
            <w:gridSpan w:val="2"/>
            <w:noWrap w:val="0"/>
            <w:vAlign w:val="center"/>
          </w:tcPr>
          <w:p w14:paraId="487AEF3E">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rFonts w:hint="eastAsia" w:ascii="仿宋" w:hAnsi="仿宋" w:eastAsia="仿宋" w:cs="仿宋"/>
                <w:color w:val="auto"/>
                <w:sz w:val="19"/>
                <w:szCs w:val="19"/>
                <w:lang w:eastAsia="zh-CN"/>
              </w:rPr>
            </w:pPr>
            <w:r>
              <w:rPr>
                <w:rFonts w:hint="eastAsia" w:ascii="仿宋_GB2312" w:hAnsi="仿宋_GB2312" w:eastAsia="仿宋_GB2312" w:cs="仿宋_GB2312"/>
                <w:b/>
                <w:bCs/>
                <w:color w:val="auto"/>
                <w:spacing w:val="6"/>
                <w:sz w:val="21"/>
                <w:szCs w:val="21"/>
                <w:lang w:val="en-US" w:eastAsia="zh-CN"/>
              </w:rPr>
              <w:t>确认奖励金额（万元）</w:t>
            </w:r>
          </w:p>
        </w:tc>
      </w:tr>
      <w:tr w14:paraId="5CF03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1248" w:type="pct"/>
            <w:noWrap w:val="0"/>
            <w:vAlign w:val="center"/>
          </w:tcPr>
          <w:p w14:paraId="422F1AB6">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c>
          <w:tcPr>
            <w:tcW w:w="1868" w:type="pct"/>
            <w:gridSpan w:val="2"/>
            <w:noWrap w:val="0"/>
            <w:vAlign w:val="center"/>
          </w:tcPr>
          <w:p w14:paraId="70302A2E">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c>
          <w:tcPr>
            <w:tcW w:w="1882" w:type="pct"/>
            <w:gridSpan w:val="2"/>
            <w:noWrap w:val="0"/>
            <w:vAlign w:val="center"/>
          </w:tcPr>
          <w:p w14:paraId="4DC2293F">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r>
      <w:tr w14:paraId="07D36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1248" w:type="pct"/>
            <w:noWrap w:val="0"/>
            <w:vAlign w:val="center"/>
          </w:tcPr>
          <w:p w14:paraId="40F5D2BC">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c>
          <w:tcPr>
            <w:tcW w:w="1868" w:type="pct"/>
            <w:gridSpan w:val="2"/>
            <w:noWrap w:val="0"/>
            <w:vAlign w:val="center"/>
          </w:tcPr>
          <w:p w14:paraId="632427FF">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c>
          <w:tcPr>
            <w:tcW w:w="1882" w:type="pct"/>
            <w:gridSpan w:val="2"/>
            <w:noWrap w:val="0"/>
            <w:vAlign w:val="center"/>
          </w:tcPr>
          <w:p w14:paraId="41C400EE">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r>
      <w:tr w14:paraId="2E5DE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jc w:val="center"/>
        </w:trPr>
        <w:tc>
          <w:tcPr>
            <w:tcW w:w="1248" w:type="pct"/>
            <w:noWrap w:val="0"/>
            <w:vAlign w:val="center"/>
          </w:tcPr>
          <w:p w14:paraId="3C65819D">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rFonts w:hint="eastAsia" w:ascii="仿宋" w:hAnsi="仿宋" w:eastAsia="仿宋" w:cs="仿宋"/>
                <w:color w:val="auto"/>
                <w:sz w:val="19"/>
                <w:szCs w:val="19"/>
                <w:lang w:eastAsia="zh-CN"/>
              </w:rPr>
            </w:pPr>
            <w:r>
              <w:rPr>
                <w:rFonts w:hint="eastAsia" w:ascii="仿宋_GB2312" w:hAnsi="仿宋_GB2312" w:eastAsia="仿宋_GB2312" w:cs="仿宋_GB2312"/>
                <w:b/>
                <w:bCs/>
                <w:color w:val="auto"/>
                <w:spacing w:val="6"/>
                <w:sz w:val="21"/>
                <w:szCs w:val="21"/>
                <w:lang w:val="en-US" w:eastAsia="zh-CN"/>
              </w:rPr>
              <w:t>奖励资金合计（万元）</w:t>
            </w:r>
          </w:p>
        </w:tc>
        <w:tc>
          <w:tcPr>
            <w:tcW w:w="3751" w:type="pct"/>
            <w:gridSpan w:val="4"/>
            <w:noWrap w:val="0"/>
            <w:vAlign w:val="center"/>
          </w:tcPr>
          <w:p w14:paraId="57141F93">
            <w:pPr>
              <w:keepNext w:val="0"/>
              <w:keepLines w:val="0"/>
              <w:pageBreakBefore w:val="0"/>
              <w:widowControl w:val="0"/>
              <w:kinsoku/>
              <w:wordWrap/>
              <w:overflowPunct/>
              <w:topLinePunct w:val="0"/>
              <w:autoSpaceDE/>
              <w:autoSpaceDN/>
              <w:bidi w:val="0"/>
              <w:adjustRightInd/>
              <w:snapToGrid/>
              <w:ind w:firstLine="0"/>
              <w:jc w:val="center"/>
              <w:textAlignment w:val="auto"/>
              <w:rPr>
                <w:rFonts w:ascii="Arial"/>
                <w:color w:val="auto"/>
                <w:sz w:val="21"/>
              </w:rPr>
            </w:pPr>
          </w:p>
        </w:tc>
      </w:tr>
      <w:tr w14:paraId="69AF4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4" w:hRule="atLeast"/>
          <w:jc w:val="center"/>
        </w:trPr>
        <w:tc>
          <w:tcPr>
            <w:tcW w:w="1248" w:type="pct"/>
            <w:noWrap w:val="0"/>
            <w:vAlign w:val="center"/>
          </w:tcPr>
          <w:p w14:paraId="0C9C79B6">
            <w:pPr>
              <w:pStyle w:val="16"/>
              <w:keepNext w:val="0"/>
              <w:keepLines w:val="0"/>
              <w:pageBreakBefore w:val="0"/>
              <w:widowControl w:val="0"/>
              <w:kinsoku/>
              <w:wordWrap/>
              <w:overflowPunct/>
              <w:topLinePunct w:val="0"/>
              <w:autoSpaceDE/>
              <w:autoSpaceDN/>
              <w:bidi w:val="0"/>
              <w:adjustRightInd/>
              <w:snapToGrid/>
              <w:spacing w:line="230" w:lineRule="auto"/>
              <w:jc w:val="center"/>
              <w:textAlignment w:val="auto"/>
              <w:rPr>
                <w:color w:val="auto"/>
              </w:rPr>
            </w:pPr>
            <w:r>
              <w:rPr>
                <w:rFonts w:hint="eastAsia" w:ascii="仿宋_GB2312" w:hAnsi="仿宋_GB2312" w:eastAsia="仿宋_GB2312" w:cs="仿宋_GB2312"/>
                <w:color w:val="auto"/>
                <w:spacing w:val="6"/>
                <w:sz w:val="21"/>
                <w:szCs w:val="21"/>
              </w:rPr>
              <w:t>申请企业声明</w:t>
            </w:r>
          </w:p>
        </w:tc>
        <w:tc>
          <w:tcPr>
            <w:tcW w:w="3751" w:type="pct"/>
            <w:gridSpan w:val="4"/>
            <w:noWrap w:val="0"/>
            <w:vAlign w:val="center"/>
          </w:tcPr>
          <w:p w14:paraId="50F826AF">
            <w:pPr>
              <w:pStyle w:val="16"/>
              <w:keepNext w:val="0"/>
              <w:keepLines w:val="0"/>
              <w:pageBreakBefore w:val="0"/>
              <w:widowControl w:val="0"/>
              <w:kinsoku/>
              <w:wordWrap/>
              <w:overflowPunct/>
              <w:topLinePunct w:val="0"/>
              <w:autoSpaceDE/>
              <w:autoSpaceDN/>
              <w:bidi w:val="0"/>
              <w:adjustRightInd/>
              <w:snapToGrid/>
              <w:spacing w:line="230" w:lineRule="auto"/>
              <w:ind w:firstLine="444" w:firstLineChars="200"/>
              <w:jc w:val="left"/>
              <w:textAlignment w:val="auto"/>
              <w:rPr>
                <w:rFonts w:hint="eastAsia" w:ascii="仿宋_GB2312" w:hAnsi="仿宋_GB2312" w:eastAsia="仿宋_GB2312" w:cs="仿宋_GB2312"/>
                <w:color w:val="auto"/>
                <w:spacing w:val="6"/>
                <w:sz w:val="21"/>
                <w:szCs w:val="21"/>
              </w:rPr>
            </w:pPr>
          </w:p>
          <w:p w14:paraId="6327EBF0">
            <w:pPr>
              <w:keepNext w:val="0"/>
              <w:keepLines w:val="0"/>
              <w:widowControl/>
              <w:suppressLineNumbers w:val="0"/>
              <w:ind w:firstLine="444" w:firstLineChars="200"/>
              <w:jc w:val="left"/>
              <w:rPr>
                <w:rFonts w:hint="eastAsia" w:ascii="仿宋_GB2312" w:hAnsi="仿宋_GB2312" w:eastAsia="仿宋_GB2312" w:cs="仿宋_GB2312"/>
                <w:color w:val="auto"/>
                <w:spacing w:val="6"/>
                <w:sz w:val="21"/>
                <w:szCs w:val="21"/>
              </w:rPr>
            </w:pPr>
            <w:r>
              <w:rPr>
                <w:rFonts w:hint="eastAsia" w:ascii="仿宋_GB2312" w:hAnsi="仿宋_GB2312" w:eastAsia="仿宋_GB2312" w:cs="仿宋_GB2312"/>
                <w:color w:val="auto"/>
                <w:spacing w:val="6"/>
                <w:sz w:val="21"/>
                <w:szCs w:val="21"/>
              </w:rPr>
              <w:t>本</w:t>
            </w:r>
            <w:r>
              <w:rPr>
                <w:rFonts w:hint="eastAsia" w:ascii="仿宋_GB2312" w:hAnsi="仿宋_GB2312" w:eastAsia="仿宋_GB2312" w:cs="仿宋_GB2312"/>
                <w:color w:val="auto"/>
                <w:spacing w:val="6"/>
                <w:sz w:val="21"/>
                <w:szCs w:val="21"/>
                <w:lang w:val="en-US" w:eastAsia="zh-CN"/>
              </w:rPr>
              <w:t>企业</w:t>
            </w:r>
            <w:r>
              <w:rPr>
                <w:rFonts w:hint="eastAsia" w:ascii="仿宋_GB2312" w:hAnsi="仿宋_GB2312" w:eastAsia="仿宋_GB2312" w:cs="仿宋_GB2312"/>
                <w:color w:val="auto"/>
                <w:spacing w:val="6"/>
                <w:sz w:val="21"/>
                <w:szCs w:val="21"/>
              </w:rPr>
              <w:t>在提交定安县支持工业经济和科技创新发展奖励申请材料时，已充分知晓申请奖励资金的相关要求和条件，</w:t>
            </w:r>
            <w:r>
              <w:rPr>
                <w:rFonts w:hint="eastAsia" w:ascii="仿宋_GB2312" w:hAnsi="仿宋_GB2312" w:eastAsia="仿宋_GB2312" w:cs="仿宋_GB2312"/>
                <w:color w:val="auto"/>
                <w:spacing w:val="6"/>
                <w:sz w:val="21"/>
                <w:szCs w:val="21"/>
                <w:lang w:val="en-US" w:eastAsia="zh-CN"/>
              </w:rPr>
              <w:t>自愿履行</w:t>
            </w:r>
            <w:r>
              <w:rPr>
                <w:rFonts w:hint="eastAsia" w:ascii="仿宋_GB2312" w:hAnsi="仿宋_GB2312" w:eastAsia="仿宋_GB2312" w:cs="仿宋_GB2312"/>
                <w:color w:val="auto"/>
                <w:spacing w:val="6"/>
                <w:sz w:val="21"/>
                <w:szCs w:val="21"/>
              </w:rPr>
              <w:t>全部条款，并向审核</w:t>
            </w:r>
            <w:r>
              <w:rPr>
                <w:rFonts w:hint="eastAsia" w:ascii="仿宋_GB2312" w:hAnsi="仿宋_GB2312" w:eastAsia="仿宋_GB2312" w:cs="仿宋_GB2312"/>
                <w:color w:val="auto"/>
                <w:spacing w:val="6"/>
                <w:sz w:val="21"/>
                <w:szCs w:val="21"/>
                <w:lang w:val="en-US" w:eastAsia="zh-CN"/>
              </w:rPr>
              <w:t>单位</w:t>
            </w:r>
            <w:r>
              <w:rPr>
                <w:rFonts w:hint="eastAsia" w:ascii="仿宋_GB2312" w:hAnsi="仿宋_GB2312" w:eastAsia="仿宋_GB2312" w:cs="仿宋_GB2312"/>
                <w:color w:val="auto"/>
                <w:spacing w:val="6"/>
                <w:sz w:val="21"/>
                <w:szCs w:val="21"/>
              </w:rPr>
              <w:t>作出如下郑重承诺：</w:t>
            </w:r>
          </w:p>
          <w:p w14:paraId="1B341E2E">
            <w:pPr>
              <w:keepNext w:val="0"/>
              <w:keepLines w:val="0"/>
              <w:widowControl/>
              <w:suppressLineNumbers w:val="0"/>
              <w:ind w:firstLine="444" w:firstLineChars="200"/>
              <w:jc w:val="left"/>
              <w:rPr>
                <w:rFonts w:hint="eastAsia" w:ascii="仿宋_GB2312" w:hAnsi="仿宋_GB2312" w:eastAsia="仿宋_GB2312" w:cs="仿宋_GB2312"/>
                <w:color w:val="auto"/>
                <w:spacing w:val="6"/>
                <w:sz w:val="21"/>
                <w:szCs w:val="21"/>
              </w:rPr>
            </w:pPr>
            <w:r>
              <w:rPr>
                <w:rFonts w:hint="eastAsia" w:ascii="仿宋_GB2312" w:hAnsi="仿宋_GB2312" w:eastAsia="仿宋_GB2312" w:cs="仿宋_GB2312"/>
                <w:color w:val="auto"/>
                <w:spacing w:val="6"/>
                <w:sz w:val="21"/>
                <w:szCs w:val="21"/>
              </w:rPr>
              <w:t>本</w:t>
            </w:r>
            <w:r>
              <w:rPr>
                <w:rFonts w:hint="eastAsia" w:ascii="仿宋_GB2312" w:hAnsi="仿宋_GB2312" w:eastAsia="仿宋_GB2312" w:cs="仿宋_GB2312"/>
                <w:color w:val="auto"/>
                <w:spacing w:val="6"/>
                <w:sz w:val="21"/>
                <w:szCs w:val="21"/>
                <w:lang w:val="en-US" w:eastAsia="zh-CN"/>
              </w:rPr>
              <w:t>企业</w:t>
            </w:r>
            <w:r>
              <w:rPr>
                <w:rFonts w:hint="eastAsia" w:ascii="仿宋_GB2312" w:hAnsi="仿宋_GB2312" w:eastAsia="仿宋_GB2312" w:cs="仿宋_GB2312"/>
                <w:color w:val="auto"/>
                <w:spacing w:val="6"/>
                <w:sz w:val="21"/>
                <w:szCs w:val="21"/>
              </w:rPr>
              <w:t>填报的信息和提供的材料全部真实有效，如存在伪造证件材料</w:t>
            </w:r>
            <w:r>
              <w:rPr>
                <w:rFonts w:hint="eastAsia" w:ascii="仿宋_GB2312" w:hAnsi="仿宋_GB2312" w:eastAsia="仿宋_GB2312" w:cs="仿宋_GB2312"/>
                <w:color w:val="auto"/>
                <w:spacing w:val="6"/>
                <w:sz w:val="21"/>
                <w:szCs w:val="21"/>
                <w:lang w:eastAsia="zh-CN"/>
              </w:rPr>
              <w:t>，</w:t>
            </w:r>
            <w:r>
              <w:rPr>
                <w:rFonts w:hint="eastAsia" w:ascii="仿宋_GB2312" w:hAnsi="仿宋_GB2312" w:eastAsia="仿宋_GB2312" w:cs="仿宋_GB2312"/>
                <w:color w:val="auto"/>
                <w:spacing w:val="6"/>
                <w:sz w:val="21"/>
                <w:szCs w:val="21"/>
              </w:rPr>
              <w:t>虚报冒领等欺瞒行为，承诺无条件退回本次奖励资金，</w:t>
            </w:r>
            <w:r>
              <w:rPr>
                <w:rFonts w:hint="eastAsia" w:ascii="仿宋_GB2312" w:hAnsi="仿宋_GB2312" w:eastAsia="仿宋_GB2312" w:cs="仿宋_GB2312"/>
                <w:color w:val="auto"/>
                <w:spacing w:val="6"/>
                <w:kern w:val="2"/>
                <w:sz w:val="21"/>
                <w:szCs w:val="21"/>
                <w:lang w:val="en-US" w:eastAsia="zh-CN" w:bidi="ar-SA"/>
              </w:rPr>
              <w:t>取消当年享受上述政策的资格，</w:t>
            </w:r>
            <w:r>
              <w:rPr>
                <w:rFonts w:hint="eastAsia" w:ascii="仿宋_GB2312" w:hAnsi="仿宋_GB2312" w:eastAsia="仿宋_GB2312" w:cs="仿宋_GB2312"/>
                <w:color w:val="auto"/>
                <w:spacing w:val="6"/>
                <w:sz w:val="21"/>
                <w:szCs w:val="21"/>
                <w:lang w:val="en-US" w:eastAsia="zh-CN"/>
              </w:rPr>
              <w:t>并</w:t>
            </w:r>
            <w:r>
              <w:rPr>
                <w:rFonts w:hint="eastAsia" w:ascii="仿宋_GB2312" w:hAnsi="仿宋_GB2312" w:eastAsia="仿宋_GB2312" w:cs="仿宋_GB2312"/>
                <w:color w:val="auto"/>
                <w:spacing w:val="6"/>
                <w:sz w:val="21"/>
                <w:szCs w:val="21"/>
              </w:rPr>
              <w:t>按照《财政违法行为处条例》（国务院令（2014）第427号）等有关规定，由有关部门依法追究。</w:t>
            </w:r>
          </w:p>
          <w:p w14:paraId="5E8412C4">
            <w:pPr>
              <w:keepNext w:val="0"/>
              <w:keepLines w:val="0"/>
              <w:widowControl/>
              <w:suppressLineNumbers w:val="0"/>
              <w:ind w:firstLine="444" w:firstLineChars="200"/>
              <w:jc w:val="left"/>
              <w:rPr>
                <w:rFonts w:hint="eastAsia" w:ascii="仿宋_GB2312" w:hAnsi="仿宋_GB2312" w:eastAsia="仿宋_GB2312" w:cs="仿宋_GB2312"/>
                <w:color w:val="auto"/>
                <w:spacing w:val="6"/>
                <w:sz w:val="21"/>
                <w:szCs w:val="21"/>
              </w:rPr>
            </w:pPr>
            <w:r>
              <w:rPr>
                <w:rFonts w:hint="eastAsia" w:ascii="仿宋_GB2312" w:hAnsi="仿宋_GB2312" w:eastAsia="仿宋_GB2312" w:cs="仿宋_GB2312"/>
                <w:color w:val="auto"/>
                <w:spacing w:val="6"/>
                <w:sz w:val="21"/>
                <w:szCs w:val="21"/>
              </w:rPr>
              <w:t>以上承诺为不可撤销承诺。</w:t>
            </w:r>
          </w:p>
          <w:p w14:paraId="184B5F6A">
            <w:pPr>
              <w:pStyle w:val="16"/>
              <w:keepNext w:val="0"/>
              <w:keepLines w:val="0"/>
              <w:pageBreakBefore w:val="0"/>
              <w:widowControl w:val="0"/>
              <w:kinsoku/>
              <w:wordWrap/>
              <w:overflowPunct/>
              <w:topLinePunct w:val="0"/>
              <w:autoSpaceDE/>
              <w:autoSpaceDN/>
              <w:bidi w:val="0"/>
              <w:adjustRightInd/>
              <w:snapToGrid/>
              <w:spacing w:line="230" w:lineRule="auto"/>
              <w:ind w:firstLine="444" w:firstLineChars="200"/>
              <w:jc w:val="left"/>
              <w:textAlignment w:val="auto"/>
              <w:rPr>
                <w:rFonts w:hint="eastAsia" w:ascii="仿宋_GB2312" w:hAnsi="仿宋_GB2312" w:eastAsia="仿宋_GB2312" w:cs="仿宋_GB2312"/>
                <w:color w:val="auto"/>
                <w:spacing w:val="6"/>
                <w:sz w:val="21"/>
                <w:szCs w:val="21"/>
              </w:rPr>
            </w:pPr>
          </w:p>
          <w:p w14:paraId="09270DBD">
            <w:pPr>
              <w:keepNext w:val="0"/>
              <w:keepLines w:val="0"/>
              <w:pageBreakBefore w:val="0"/>
              <w:widowControl w:val="0"/>
              <w:kinsoku/>
              <w:wordWrap/>
              <w:overflowPunct/>
              <w:topLinePunct w:val="0"/>
              <w:autoSpaceDE/>
              <w:autoSpaceDN/>
              <w:bidi w:val="0"/>
              <w:adjustRightInd/>
              <w:snapToGrid/>
              <w:spacing w:line="258" w:lineRule="auto"/>
              <w:ind w:firstLine="0"/>
              <w:jc w:val="center"/>
              <w:textAlignment w:val="auto"/>
              <w:rPr>
                <w:rFonts w:hint="eastAsia" w:ascii="仿宋_GB2312" w:hAnsi="仿宋_GB2312" w:eastAsia="仿宋_GB2312" w:cs="仿宋_GB2312"/>
                <w:color w:val="auto"/>
                <w:spacing w:val="9"/>
                <w:kern w:val="2"/>
                <w:sz w:val="21"/>
                <w:szCs w:val="21"/>
                <w:lang w:val="en-US" w:eastAsia="zh-CN" w:bidi="ar-SA"/>
              </w:rPr>
            </w:pPr>
            <w:r>
              <w:rPr>
                <w:rFonts w:hint="eastAsia" w:ascii="仿宋_GB2312" w:hAnsi="仿宋_GB2312" w:eastAsia="仿宋_GB2312" w:cs="仿宋_GB2312"/>
                <w:color w:val="auto"/>
                <w:spacing w:val="9"/>
                <w:kern w:val="2"/>
                <w:sz w:val="21"/>
                <w:szCs w:val="21"/>
                <w:lang w:val="en-US" w:eastAsia="zh-CN" w:bidi="ar-SA"/>
              </w:rPr>
              <w:t>法定代表人（签章）：</w:t>
            </w:r>
          </w:p>
          <w:p w14:paraId="0381D709">
            <w:pPr>
              <w:keepNext w:val="0"/>
              <w:keepLines w:val="0"/>
              <w:pageBreakBefore w:val="0"/>
              <w:widowControl w:val="0"/>
              <w:kinsoku/>
              <w:wordWrap/>
              <w:overflowPunct/>
              <w:topLinePunct w:val="0"/>
              <w:autoSpaceDE/>
              <w:autoSpaceDN/>
              <w:bidi w:val="0"/>
              <w:adjustRightInd/>
              <w:snapToGrid/>
              <w:spacing w:line="258" w:lineRule="auto"/>
              <w:ind w:firstLine="0"/>
              <w:jc w:val="center"/>
              <w:textAlignment w:val="auto"/>
              <w:rPr>
                <w:rFonts w:hint="eastAsia" w:ascii="仿宋_GB2312" w:hAnsi="仿宋_GB2312" w:eastAsia="仿宋_GB2312" w:cs="仿宋_GB2312"/>
                <w:color w:val="auto"/>
                <w:spacing w:val="9"/>
                <w:kern w:val="2"/>
                <w:sz w:val="21"/>
                <w:szCs w:val="21"/>
                <w:lang w:val="en-US" w:eastAsia="zh-CN" w:bidi="ar-SA"/>
              </w:rPr>
            </w:pPr>
            <w:r>
              <w:rPr>
                <w:rFonts w:hint="eastAsia" w:ascii="仿宋_GB2312" w:hAnsi="仿宋_GB2312" w:eastAsia="仿宋_GB2312" w:cs="仿宋_GB2312"/>
                <w:color w:val="auto"/>
                <w:spacing w:val="9"/>
                <w:kern w:val="2"/>
                <w:sz w:val="21"/>
                <w:szCs w:val="21"/>
                <w:lang w:val="en-US" w:eastAsia="zh-CN" w:bidi="ar-SA"/>
              </w:rPr>
              <w:t>申请企业（公章）：</w:t>
            </w:r>
          </w:p>
          <w:p w14:paraId="09E48185">
            <w:pPr>
              <w:keepNext w:val="0"/>
              <w:keepLines w:val="0"/>
              <w:pageBreakBefore w:val="0"/>
              <w:widowControl w:val="0"/>
              <w:kinsoku/>
              <w:wordWrap/>
              <w:overflowPunct/>
              <w:topLinePunct w:val="0"/>
              <w:autoSpaceDE/>
              <w:autoSpaceDN/>
              <w:bidi w:val="0"/>
              <w:adjustRightInd/>
              <w:snapToGrid/>
              <w:spacing w:line="258" w:lineRule="auto"/>
              <w:ind w:firstLine="0"/>
              <w:jc w:val="center"/>
              <w:textAlignment w:val="auto"/>
              <w:rPr>
                <w:color w:val="auto"/>
              </w:rPr>
            </w:pPr>
            <w:r>
              <w:rPr>
                <w:rFonts w:hint="eastAsia" w:ascii="仿宋_GB2312" w:hAnsi="仿宋_GB2312" w:eastAsia="仿宋_GB2312" w:cs="仿宋_GB2312"/>
                <w:color w:val="auto"/>
                <w:spacing w:val="9"/>
                <w:kern w:val="2"/>
                <w:sz w:val="21"/>
                <w:szCs w:val="21"/>
                <w:lang w:val="en-US" w:eastAsia="zh-CN" w:bidi="ar-SA"/>
              </w:rPr>
              <w:t>年  月  日</w:t>
            </w:r>
          </w:p>
        </w:tc>
      </w:tr>
      <w:tr w14:paraId="406A7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jc w:val="center"/>
        </w:trPr>
        <w:tc>
          <w:tcPr>
            <w:tcW w:w="5000" w:type="pct"/>
            <w:gridSpan w:val="5"/>
            <w:noWrap w:val="0"/>
            <w:vAlign w:val="center"/>
          </w:tcPr>
          <w:p w14:paraId="383A0B53">
            <w:pPr>
              <w:pStyle w:val="16"/>
              <w:keepNext w:val="0"/>
              <w:keepLines w:val="0"/>
              <w:pageBreakBefore w:val="0"/>
              <w:widowControl w:val="0"/>
              <w:kinsoku/>
              <w:wordWrap/>
              <w:overflowPunct/>
              <w:topLinePunct w:val="0"/>
              <w:autoSpaceDE/>
              <w:autoSpaceDN/>
              <w:bidi w:val="0"/>
              <w:adjustRightInd/>
              <w:snapToGrid/>
              <w:spacing w:line="316" w:lineRule="auto"/>
              <w:ind w:left="121" w:right="108" w:firstLine="0"/>
              <w:jc w:val="left"/>
              <w:textAlignment w:val="auto"/>
              <w:rPr>
                <w:color w:val="auto"/>
              </w:rPr>
            </w:pPr>
            <w:r>
              <w:rPr>
                <w:color w:val="auto"/>
                <w:spacing w:val="7"/>
                <w:sz w:val="18"/>
                <w:szCs w:val="18"/>
              </w:rPr>
              <w:t>填表说明：1.</w:t>
            </w:r>
            <w:r>
              <w:rPr>
                <w:color w:val="auto"/>
                <w:spacing w:val="-53"/>
                <w:sz w:val="18"/>
                <w:szCs w:val="18"/>
              </w:rPr>
              <w:t xml:space="preserve"> </w:t>
            </w:r>
            <w:r>
              <w:rPr>
                <w:color w:val="auto"/>
                <w:spacing w:val="7"/>
                <w:sz w:val="18"/>
                <w:szCs w:val="18"/>
              </w:rPr>
              <w:t>申请企业填写后用</w:t>
            </w:r>
            <w:r>
              <w:rPr>
                <w:color w:val="auto"/>
                <w:spacing w:val="-43"/>
                <w:sz w:val="18"/>
                <w:szCs w:val="18"/>
              </w:rPr>
              <w:t xml:space="preserve"> </w:t>
            </w:r>
            <w:r>
              <w:rPr>
                <w:color w:val="auto"/>
                <w:spacing w:val="7"/>
                <w:sz w:val="18"/>
                <w:szCs w:val="18"/>
              </w:rPr>
              <w:t>A4</w:t>
            </w:r>
            <w:r>
              <w:rPr>
                <w:color w:val="auto"/>
                <w:spacing w:val="-28"/>
                <w:sz w:val="18"/>
                <w:szCs w:val="18"/>
              </w:rPr>
              <w:t xml:space="preserve"> </w:t>
            </w:r>
            <w:r>
              <w:rPr>
                <w:color w:val="auto"/>
                <w:spacing w:val="7"/>
                <w:sz w:val="18"/>
                <w:szCs w:val="18"/>
              </w:rPr>
              <w:t>双面打印，表格栏目如填写不完，可延长表格或另附</w:t>
            </w:r>
            <w:r>
              <w:rPr>
                <w:color w:val="auto"/>
                <w:spacing w:val="6"/>
                <w:sz w:val="18"/>
                <w:szCs w:val="18"/>
              </w:rPr>
              <w:t>页填写；</w:t>
            </w:r>
            <w:r>
              <w:rPr>
                <w:color w:val="auto"/>
                <w:spacing w:val="-52"/>
                <w:sz w:val="18"/>
                <w:szCs w:val="18"/>
              </w:rPr>
              <w:t xml:space="preserve"> </w:t>
            </w:r>
            <w:r>
              <w:rPr>
                <w:color w:val="auto"/>
                <w:spacing w:val="6"/>
                <w:sz w:val="18"/>
                <w:szCs w:val="18"/>
              </w:rPr>
              <w:t>2.</w:t>
            </w:r>
            <w:r>
              <w:rPr>
                <w:color w:val="auto"/>
                <w:sz w:val="18"/>
                <w:szCs w:val="18"/>
              </w:rPr>
              <w:t xml:space="preserve"> </w:t>
            </w:r>
            <w:r>
              <w:rPr>
                <w:color w:val="auto"/>
                <w:spacing w:val="8"/>
                <w:sz w:val="18"/>
                <w:szCs w:val="18"/>
              </w:rPr>
              <w:t>据实填报材料后由法人签章并加盖企业公章</w:t>
            </w:r>
          </w:p>
        </w:tc>
      </w:tr>
    </w:tbl>
    <w:p w14:paraId="01A3D79F">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both"/>
        <w:rPr>
          <w:rFonts w:hint="default" w:ascii="仿宋_GB2312" w:hAnsi="仿宋_GB2312" w:eastAsia="仿宋_GB2312" w:cs="仿宋_GB2312"/>
          <w:color w:val="000000"/>
          <w:kern w:val="0"/>
          <w:sz w:val="32"/>
          <w:szCs w:val="32"/>
          <w:highlight w:val="none"/>
          <w:lang w:val="en-US" w:eastAsia="zh-CN" w:bidi="ar"/>
        </w:rPr>
      </w:pPr>
    </w:p>
    <w:p w14:paraId="0981E399">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both"/>
        <w:rPr>
          <w:rFonts w:hint="default" w:ascii="仿宋_GB2312" w:hAnsi="仿宋_GB2312" w:eastAsia="仿宋_GB2312" w:cs="仿宋_GB2312"/>
          <w:color w:val="000000"/>
          <w:kern w:val="0"/>
          <w:sz w:val="32"/>
          <w:szCs w:val="32"/>
          <w:highlight w:val="none"/>
          <w:lang w:val="en-US" w:eastAsia="zh-CN" w:bidi="ar"/>
        </w:rPr>
      </w:pPr>
    </w:p>
    <w:p w14:paraId="659C62F9">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both"/>
        <w:rPr>
          <w:rFonts w:hint="default" w:ascii="仿宋_GB2312" w:hAnsi="仿宋_GB2312" w:eastAsia="仿宋_GB2312" w:cs="仿宋_GB2312"/>
          <w:color w:val="000000"/>
          <w:kern w:val="0"/>
          <w:sz w:val="32"/>
          <w:szCs w:val="32"/>
          <w:highlight w:val="none"/>
          <w:lang w:val="en-US" w:eastAsia="zh-CN" w:bidi="ar"/>
        </w:rPr>
      </w:pPr>
    </w:p>
    <w:p w14:paraId="1A4517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18" w:lineRule="atLeast"/>
        <w:ind w:left="0" w:right="0" w:firstLine="420"/>
        <w:jc w:val="left"/>
        <w:rPr>
          <w:rFonts w:hint="eastAsia" w:ascii="仿宋_GB2312" w:hAnsi="仿宋_GB2312" w:eastAsia="仿宋_GB2312" w:cs="仿宋_GB2312"/>
          <w:b w:val="0"/>
          <w:bCs w:val="0"/>
          <w:i w:val="0"/>
          <w:iCs w:val="0"/>
          <w:caps w:val="0"/>
          <w:color w:val="333333"/>
          <w:spacing w:val="0"/>
          <w:sz w:val="32"/>
          <w:szCs w:val="32"/>
          <w:shd w:val="clear" w:fill="FFFFFF"/>
          <w:lang w:eastAsia="zh-CN"/>
        </w:rPr>
        <w:sectPr>
          <w:pgSz w:w="11906" w:h="16838"/>
          <w:pgMar w:top="1440" w:right="1800" w:bottom="1440" w:left="1800" w:header="851" w:footer="992" w:gutter="0"/>
          <w:cols w:space="425" w:num="1"/>
          <w:docGrid w:type="lines" w:linePitch="312" w:charSpace="0"/>
        </w:sectPr>
      </w:pPr>
    </w:p>
    <w:p w14:paraId="1146381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18" w:lineRule="atLeast"/>
        <w:ind w:right="0"/>
        <w:jc w:val="left"/>
        <w:rPr>
          <w:rFonts w:hint="eastAsia"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eastAsia="zh-CN"/>
        </w:rPr>
        <w:t>附件</w:t>
      </w:r>
      <w:r>
        <w:rPr>
          <w:rFonts w:hint="eastAsia" w:ascii="黑体" w:hAnsi="黑体" w:eastAsia="黑体" w:cs="黑体"/>
          <w:b w:val="0"/>
          <w:bCs w:val="0"/>
          <w:i w:val="0"/>
          <w:iCs w:val="0"/>
          <w:caps w:val="0"/>
          <w:color w:val="333333"/>
          <w:spacing w:val="0"/>
          <w:sz w:val="32"/>
          <w:szCs w:val="32"/>
          <w:shd w:val="clear" w:fill="FFFFFF"/>
          <w:lang w:val="en-US" w:eastAsia="zh-CN"/>
        </w:rPr>
        <w:t>3</w:t>
      </w:r>
    </w:p>
    <w:p w14:paraId="278C405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18" w:lineRule="atLeast"/>
        <w:ind w:left="0" w:right="0" w:firstLine="420"/>
        <w:jc w:val="center"/>
        <w:rPr>
          <w:rFonts w:hint="eastAsia" w:ascii="仿宋_GB2312" w:hAnsi="仿宋_GB2312" w:eastAsia="仿宋_GB2312" w:cs="仿宋_GB2312"/>
          <w:b/>
          <w:bCs/>
          <w:i w:val="0"/>
          <w:iCs w:val="0"/>
          <w:caps w:val="0"/>
          <w:color w:val="333333"/>
          <w:spacing w:val="0"/>
          <w:sz w:val="44"/>
          <w:szCs w:val="44"/>
          <w:shd w:val="clear" w:fill="FFFFFF"/>
          <w:lang w:eastAsia="zh-CN"/>
        </w:rPr>
      </w:pPr>
      <w:r>
        <w:rPr>
          <w:rFonts w:hint="eastAsia" w:ascii="仿宋_GB2312" w:hAnsi="仿宋_GB2312" w:eastAsia="仿宋_GB2312" w:cs="仿宋_GB2312"/>
          <w:b/>
          <w:bCs/>
          <w:i w:val="0"/>
          <w:iCs w:val="0"/>
          <w:caps w:val="0"/>
          <w:color w:val="333333"/>
          <w:spacing w:val="0"/>
          <w:sz w:val="44"/>
          <w:szCs w:val="44"/>
          <w:shd w:val="clear" w:fill="FFFFFF"/>
          <w:lang w:eastAsia="zh-CN"/>
        </w:rPr>
        <w:t>诚信承诺书</w:t>
      </w:r>
    </w:p>
    <w:p w14:paraId="693239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5" w:beforeAutospacing="0" w:after="105" w:afterAutospacing="0" w:line="58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rPr>
      </w:pPr>
    </w:p>
    <w:p w14:paraId="3CAD25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5" w:beforeAutospacing="0" w:after="105" w:afterAutospacing="0" w:line="58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lang w:eastAsia="zh-CN"/>
        </w:rPr>
        <w:t>本公司</w:t>
      </w:r>
      <w:r>
        <w:rPr>
          <w:rFonts w:hint="eastAsia" w:ascii="仿宋_GB2312" w:hAnsi="仿宋_GB2312" w:eastAsia="仿宋_GB2312" w:cs="仿宋_GB2312"/>
          <w:i w:val="0"/>
          <w:iCs w:val="0"/>
          <w:caps w:val="0"/>
          <w:color w:val="333333"/>
          <w:spacing w:val="0"/>
          <w:sz w:val="32"/>
          <w:szCs w:val="32"/>
          <w:shd w:val="clear" w:fill="FFFFFF"/>
        </w:rPr>
        <w:t>郑重承诺：</w:t>
      </w:r>
    </w:p>
    <w:p w14:paraId="7DA5FD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5" w:beforeAutospacing="0" w:after="105" w:afterAutospacing="0" w:line="58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一、本单位申报奖励所提供的所有材料，均准确、真实、合法、有效、无涉密信息，本单位愿为此承担有关法律责任，本单位若存在弄虚作假的行为，按照相关规定处理。</w:t>
      </w:r>
    </w:p>
    <w:p w14:paraId="1AD983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5" w:beforeAutospacing="0" w:after="105" w:afterAutospacing="0" w:line="58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二、本单位如在奖励兑现前迁离注册地址、改变在广信区的纳税义务、变更统计关系，将自愿放弃所有奖励。</w:t>
      </w:r>
    </w:p>
    <w:p w14:paraId="322455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5" w:beforeAutospacing="0" w:after="105" w:afterAutospacing="0" w:line="58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三、本单位申请认定前一年内（即申请前的365天之内，含申报年）未发生重大安全事故、重大质量事故、环境污染事故、偷税漏税、违反劳动法发生欠薪、非法集资等违法行为。</w:t>
      </w:r>
    </w:p>
    <w:p w14:paraId="611F84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18" w:lineRule="atLeast"/>
        <w:ind w:left="0" w:right="0" w:firstLine="420"/>
        <w:jc w:val="right"/>
        <w:rPr>
          <w:rFonts w:hint="eastAsia" w:ascii="仿宋_GB2312" w:hAnsi="仿宋_GB2312" w:eastAsia="仿宋_GB2312" w:cs="仿宋_GB2312"/>
          <w:i w:val="0"/>
          <w:iCs w:val="0"/>
          <w:caps w:val="0"/>
          <w:color w:val="333333"/>
          <w:spacing w:val="0"/>
          <w:sz w:val="32"/>
          <w:szCs w:val="32"/>
          <w:shd w:val="clear" w:fill="FFFFFF"/>
        </w:rPr>
      </w:pPr>
    </w:p>
    <w:p w14:paraId="51F14F2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18" w:lineRule="atLeast"/>
        <w:ind w:left="0" w:right="0" w:firstLine="420"/>
        <w:jc w:val="right"/>
        <w:rPr>
          <w:rFonts w:hint="eastAsia" w:ascii="仿宋_GB2312" w:hAnsi="仿宋_GB2312" w:eastAsia="仿宋_GB2312" w:cs="仿宋_GB2312"/>
          <w:i w:val="0"/>
          <w:iCs w:val="0"/>
          <w:caps w:val="0"/>
          <w:color w:val="333333"/>
          <w:spacing w:val="0"/>
          <w:sz w:val="32"/>
          <w:szCs w:val="32"/>
          <w:shd w:val="clear" w:fill="FFFFFF"/>
        </w:rPr>
      </w:pPr>
    </w:p>
    <w:p w14:paraId="2EBDC7A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105" w:beforeAutospacing="0" w:after="105" w:afterAutospacing="0" w:line="18" w:lineRule="atLeast"/>
        <w:ind w:left="0" w:right="0" w:firstLine="420"/>
        <w:jc w:val="center"/>
        <w:rPr>
          <w:rFonts w:hint="default" w:ascii="仿宋_GB2312" w:hAnsi="仿宋_GB2312" w:eastAsia="仿宋_GB2312" w:cs="仿宋_GB2312"/>
          <w:i w:val="0"/>
          <w:iCs w:val="0"/>
          <w:caps w:val="0"/>
          <w:color w:val="333333"/>
          <w:spacing w:val="0"/>
          <w:sz w:val="32"/>
          <w:szCs w:val="32"/>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法定代表人签名：</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p>
    <w:p w14:paraId="0B87D5A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18" w:lineRule="atLeast"/>
        <w:ind w:left="0" w:right="0" w:firstLine="420"/>
        <w:jc w:val="righ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lang w:eastAsia="zh-CN"/>
        </w:rPr>
        <w:t>企业名称：</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（企业盖章）</w:t>
      </w:r>
    </w:p>
    <w:p w14:paraId="021D7D30">
      <w:pPr>
        <w:pStyle w:val="4"/>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jc w:val="right"/>
        <w:rPr>
          <w:rFonts w:hint="default"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i w:val="0"/>
          <w:iCs w:val="0"/>
          <w:caps w:val="0"/>
          <w:color w:val="333333"/>
          <w:spacing w:val="0"/>
          <w:sz w:val="32"/>
          <w:szCs w:val="32"/>
          <w:shd w:val="clear" w:fill="FFFFFF"/>
        </w:rPr>
        <w:t>年</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月</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333333"/>
          <w:spacing w:val="0"/>
          <w:sz w:val="32"/>
          <w:szCs w:val="32"/>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5D1926"/>
    <w:multiLevelType w:val="multilevel"/>
    <w:tmpl w:val="E35D1926"/>
    <w:lvl w:ilvl="0" w:tentative="0">
      <w:start w:val="1"/>
      <w:numFmt w:val="decimal"/>
      <w:pStyle w:val="15"/>
      <w:lvlText w:val="%1."/>
      <w:lvlJc w:val="left"/>
      <w:pPr>
        <w:tabs>
          <w:tab w:val="left" w:pos="0"/>
        </w:tabs>
        <w:ind w:left="0" w:firstLine="0"/>
      </w:pPr>
      <w:rPr>
        <w:rFonts w:hint="default"/>
      </w:rPr>
    </w:lvl>
    <w:lvl w:ilvl="1" w:tentative="0">
      <w:start w:val="1"/>
      <w:numFmt w:val="decimal"/>
      <w:suff w:val="nothing"/>
      <w:lvlText w:val="%1.%2."/>
      <w:lvlJc w:val="left"/>
      <w:pPr>
        <w:tabs>
          <w:tab w:val="left" w:pos="0"/>
        </w:tabs>
        <w:ind w:left="0" w:firstLine="0"/>
      </w:pPr>
      <w:rPr>
        <w:rFonts w:hint="default"/>
      </w:rPr>
    </w:lvl>
    <w:lvl w:ilvl="2" w:tentative="0">
      <w:start w:val="1"/>
      <w:numFmt w:val="decimal"/>
      <w:pStyle w:val="13"/>
      <w:suff w:val="nothing"/>
      <w:lvlText w:val="%1.%2.%3."/>
      <w:lvlJc w:val="left"/>
      <w:pPr>
        <w:tabs>
          <w:tab w:val="left" w:pos="0"/>
        </w:tabs>
        <w:ind w:left="0" w:firstLine="0"/>
      </w:pPr>
      <w:rPr>
        <w:rFonts w:hint="default"/>
      </w:rPr>
    </w:lvl>
    <w:lvl w:ilvl="3" w:tentative="0">
      <w:start w:val="1"/>
      <w:numFmt w:val="decimal"/>
      <w:suff w:val="nothing"/>
      <w:lvlText w:val="%1.%2.%3.%4."/>
      <w:lvlJc w:val="left"/>
      <w:pPr>
        <w:tabs>
          <w:tab w:val="left" w:pos="0"/>
        </w:tabs>
        <w:ind w:left="0" w:firstLine="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22F5D444"/>
    <w:multiLevelType w:val="multilevel"/>
    <w:tmpl w:val="22F5D444"/>
    <w:lvl w:ilvl="0" w:tentative="0">
      <w:start w:val="1"/>
      <w:numFmt w:val="decimal"/>
      <w:pStyle w:val="11"/>
      <w:lvlText w:val="%1."/>
      <w:lvlJc w:val="left"/>
      <w:pPr>
        <w:tabs>
          <w:tab w:val="left" w:pos="0"/>
        </w:tabs>
        <w:ind w:left="0" w:firstLine="0"/>
      </w:pPr>
      <w:rPr>
        <w:rFonts w:hint="default"/>
      </w:rPr>
    </w:lvl>
    <w:lvl w:ilvl="1" w:tentative="0">
      <w:start w:val="1"/>
      <w:numFmt w:val="decimal"/>
      <w:suff w:val="nothing"/>
      <w:lvlText w:val="%1.%2."/>
      <w:lvlJc w:val="left"/>
      <w:pPr>
        <w:tabs>
          <w:tab w:val="left" w:pos="0"/>
        </w:tabs>
        <w:ind w:left="0" w:firstLine="0"/>
      </w:pPr>
      <w:rPr>
        <w:rFonts w:hint="default"/>
      </w:rPr>
    </w:lvl>
    <w:lvl w:ilvl="2" w:tentative="0">
      <w:start w:val="1"/>
      <w:numFmt w:val="decimal"/>
      <w:suff w:val="nothing"/>
      <w:lvlText w:val="%1.%2.%3."/>
      <w:lvlJc w:val="left"/>
      <w:pPr>
        <w:tabs>
          <w:tab w:val="left" w:pos="0"/>
        </w:tabs>
        <w:ind w:left="0" w:firstLine="0"/>
      </w:pPr>
      <w:rPr>
        <w:rFonts w:hint="default"/>
      </w:rPr>
    </w:lvl>
    <w:lvl w:ilvl="3" w:tentative="0">
      <w:start w:val="1"/>
      <w:numFmt w:val="decimal"/>
      <w:suff w:val="nothing"/>
      <w:lvlText w:val="%1.%2.%3.%4."/>
      <w:lvlJc w:val="left"/>
      <w:pPr>
        <w:tabs>
          <w:tab w:val="left" w:pos="0"/>
        </w:tabs>
        <w:ind w:left="0" w:firstLine="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5229475B"/>
    <w:multiLevelType w:val="multilevel"/>
    <w:tmpl w:val="5229475B"/>
    <w:lvl w:ilvl="0" w:tentative="0">
      <w:start w:val="1"/>
      <w:numFmt w:val="decimal"/>
      <w:lvlText w:val="%1."/>
      <w:lvlJc w:val="left"/>
      <w:pPr>
        <w:tabs>
          <w:tab w:val="left" w:pos="0"/>
        </w:tabs>
        <w:ind w:left="0" w:firstLine="0"/>
      </w:pPr>
      <w:rPr>
        <w:rFonts w:hint="default"/>
      </w:rPr>
    </w:lvl>
    <w:lvl w:ilvl="1" w:tentative="0">
      <w:start w:val="1"/>
      <w:numFmt w:val="decimal"/>
      <w:pStyle w:val="12"/>
      <w:suff w:val="nothing"/>
      <w:lvlText w:val="%1.%2."/>
      <w:lvlJc w:val="left"/>
      <w:pPr>
        <w:tabs>
          <w:tab w:val="left" w:pos="0"/>
        </w:tabs>
        <w:ind w:left="0" w:firstLine="0"/>
      </w:pPr>
      <w:rPr>
        <w:rFonts w:hint="default"/>
      </w:rPr>
    </w:lvl>
    <w:lvl w:ilvl="2" w:tentative="0">
      <w:start w:val="1"/>
      <w:numFmt w:val="decimal"/>
      <w:suff w:val="nothing"/>
      <w:lvlText w:val="%1.%2.%3."/>
      <w:lvlJc w:val="left"/>
      <w:pPr>
        <w:tabs>
          <w:tab w:val="left" w:pos="0"/>
        </w:tabs>
        <w:ind w:left="0" w:firstLine="0"/>
      </w:pPr>
      <w:rPr>
        <w:rFonts w:hint="default"/>
      </w:rPr>
    </w:lvl>
    <w:lvl w:ilvl="3" w:tentative="0">
      <w:start w:val="1"/>
      <w:numFmt w:val="decimal"/>
      <w:pStyle w:val="10"/>
      <w:suff w:val="nothing"/>
      <w:lvlText w:val="%1.%2.%3.%4."/>
      <w:lvlJc w:val="left"/>
      <w:pPr>
        <w:tabs>
          <w:tab w:val="left" w:pos="0"/>
        </w:tabs>
        <w:ind w:left="0" w:firstLine="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4749A"/>
    <w:rsid w:val="02005570"/>
    <w:rsid w:val="05C50C80"/>
    <w:rsid w:val="07A75AB0"/>
    <w:rsid w:val="10953945"/>
    <w:rsid w:val="10BD473D"/>
    <w:rsid w:val="12066A3D"/>
    <w:rsid w:val="18F86F87"/>
    <w:rsid w:val="1BD6378F"/>
    <w:rsid w:val="26B446CD"/>
    <w:rsid w:val="2B96256F"/>
    <w:rsid w:val="2E7F1A64"/>
    <w:rsid w:val="30C455F1"/>
    <w:rsid w:val="34790D04"/>
    <w:rsid w:val="375A54DF"/>
    <w:rsid w:val="38E946AA"/>
    <w:rsid w:val="3E932697"/>
    <w:rsid w:val="3EFD6405"/>
    <w:rsid w:val="431B4F23"/>
    <w:rsid w:val="4AA579DB"/>
    <w:rsid w:val="4C8A7AFA"/>
    <w:rsid w:val="4DAA1E0A"/>
    <w:rsid w:val="4DB21EB1"/>
    <w:rsid w:val="56DB6AD4"/>
    <w:rsid w:val="5814264B"/>
    <w:rsid w:val="606313F2"/>
    <w:rsid w:val="68C4749A"/>
    <w:rsid w:val="6BF36838"/>
    <w:rsid w:val="6D8342C6"/>
    <w:rsid w:val="6F0F5F1F"/>
    <w:rsid w:val="701E2184"/>
    <w:rsid w:val="74373814"/>
    <w:rsid w:val="7ACF2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20"/>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qFormat/>
    <w:uiPriority w:val="0"/>
    <w:pPr>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page number"/>
    <w:basedOn w:val="7"/>
    <w:qFormat/>
    <w:uiPriority w:val="0"/>
  </w:style>
  <w:style w:type="paragraph" w:customStyle="1" w:styleId="10">
    <w:name w:val="四级标题"/>
    <w:basedOn w:val="1"/>
    <w:next w:val="1"/>
    <w:qFormat/>
    <w:uiPriority w:val="0"/>
    <w:pPr>
      <w:keepNext/>
      <w:keepLines/>
      <w:numPr>
        <w:ilvl w:val="3"/>
        <w:numId w:val="1"/>
      </w:numPr>
      <w:spacing w:before="280" w:beforeLines="0" w:after="290" w:afterLines="0" w:line="240" w:lineRule="auto"/>
      <w:outlineLvl w:val="3"/>
    </w:pPr>
    <w:rPr>
      <w:rFonts w:hint="eastAsia" w:ascii="Arial" w:hAnsi="Arial" w:eastAsia="宋体" w:cs="Times New Roman"/>
      <w:b/>
      <w:sz w:val="28"/>
    </w:rPr>
  </w:style>
  <w:style w:type="paragraph" w:customStyle="1" w:styleId="11">
    <w:name w:val="一级标题"/>
    <w:basedOn w:val="1"/>
    <w:qFormat/>
    <w:uiPriority w:val="0"/>
    <w:pPr>
      <w:numPr>
        <w:ilvl w:val="0"/>
        <w:numId w:val="2"/>
      </w:numPr>
    </w:pPr>
  </w:style>
  <w:style w:type="paragraph" w:customStyle="1" w:styleId="12">
    <w:name w:val="二级标题"/>
    <w:basedOn w:val="1"/>
    <w:qFormat/>
    <w:uiPriority w:val="0"/>
    <w:pPr>
      <w:numPr>
        <w:ilvl w:val="1"/>
        <w:numId w:val="1"/>
      </w:numPr>
    </w:pPr>
  </w:style>
  <w:style w:type="paragraph" w:customStyle="1" w:styleId="13">
    <w:name w:val="三级标题"/>
    <w:basedOn w:val="1"/>
    <w:next w:val="1"/>
    <w:link w:val="14"/>
    <w:qFormat/>
    <w:uiPriority w:val="0"/>
    <w:pPr>
      <w:numPr>
        <w:ilvl w:val="2"/>
        <w:numId w:val="3"/>
      </w:numPr>
      <w:ind w:firstLine="0"/>
      <w:outlineLvl w:val="2"/>
    </w:pPr>
    <w:rPr>
      <w:rFonts w:eastAsia="楷体" w:asciiTheme="minorAscii" w:hAnsiTheme="minorAscii"/>
      <w:bCs/>
      <w:sz w:val="32"/>
    </w:rPr>
  </w:style>
  <w:style w:type="character" w:customStyle="1" w:styleId="14">
    <w:name w:val="三级标题 Char"/>
    <w:link w:val="13"/>
    <w:qFormat/>
    <w:uiPriority w:val="0"/>
    <w:rPr>
      <w:rFonts w:hint="default" w:eastAsia="楷体" w:asciiTheme="minorAscii" w:hAnsiTheme="minorAscii"/>
      <w:bCs/>
      <w:sz w:val="32"/>
    </w:rPr>
  </w:style>
  <w:style w:type="paragraph" w:customStyle="1" w:styleId="15">
    <w:name w:val="标书一级标题"/>
    <w:basedOn w:val="11"/>
    <w:qFormat/>
    <w:uiPriority w:val="0"/>
    <w:pPr>
      <w:numPr>
        <w:numId w:val="3"/>
      </w:numPr>
    </w:pPr>
    <w:rPr>
      <w:rFonts w:asciiTheme="minorAscii" w:hAnsiTheme="minorAscii"/>
      <w:b/>
      <w:sz w:val="36"/>
      <w:szCs w:val="44"/>
    </w:rPr>
  </w:style>
  <w:style w:type="paragraph" w:customStyle="1" w:styleId="16">
    <w:name w:val="Table Text"/>
    <w:basedOn w:val="1"/>
    <w:semiHidden/>
    <w:qFormat/>
    <w:uiPriority w:val="0"/>
    <w:rPr>
      <w:rFonts w:ascii="FangSong_GB2312" w:hAnsi="FangSong_GB2312" w:eastAsia="FangSong_GB2312" w:cs="FangSong_GB2312"/>
      <w:sz w:val="19"/>
      <w:szCs w:val="19"/>
      <w:lang w:val="en-US" w:eastAsia="en-US" w:bidi="ar-SA"/>
    </w:rPr>
  </w:style>
  <w:style w:type="table" w:customStyle="1" w:styleId="17">
    <w:name w:val="Table Normal"/>
    <w:unhideWhenUsed/>
    <w:qFormat/>
    <w:uiPriority w:val="0"/>
    <w:tblPr>
      <w:tblCellMar>
        <w:top w:w="0" w:type="dxa"/>
        <w:left w:w="0" w:type="dxa"/>
        <w:bottom w:w="0" w:type="dxa"/>
        <w:right w:w="0" w:type="dxa"/>
      </w:tblCellMar>
    </w:tbl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Company>
  <Pages>14</Pages>
  <Words>5264</Words>
  <Characters>5488</Characters>
  <Lines>0</Lines>
  <Paragraphs>0</Paragraphs>
  <TotalTime>45</TotalTime>
  <ScaleCrop>false</ScaleCrop>
  <LinksUpToDate>false</LinksUpToDate>
  <CharactersWithSpaces>5624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2025-07-08T06:44:00Z</dcterms:created>
  <dc:creator>海南省中小企业公共服务平台工作号</dc:creator>
  <cp:lastModifiedBy>开枝散叶</cp:lastModifiedBy>
  <dcterms:modified xsi:type="dcterms:W3CDTF">2025-07-15T03:18:50Z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7178CB1208274E1A97AD9EAB82960BB4_11</vt:lpwstr>
  </property>
  <property fmtid="{D5CDD505-2E9C-101B-9397-08002B2CF9AE}" pid="4" name="KSOTemplateDocerSaveRecord">
    <vt:lpwstr>eyJoZGlkIjoiMGQ1MGRiMDkwN2VmOTc3MTYwMWUzZjRlNmJlNmMxYjciLCJ1c2VySWQiOiIzNDAyMTUxNTUifQ==</vt:lpwstr>
  </property>
</Properties>
</file>