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00" w:lineRule="exact"/>
        <w:jc w:val="center"/>
        <w:textAlignment w:val="auto"/>
        <w:rPr>
          <w:rFonts w:hint="eastAsia" w:ascii="方正小标宋简体" w:hAnsi="方正小标宋简体" w:eastAsia="方正小标宋简体" w:cs="方正小标宋简体"/>
          <w:b/>
          <w:bCs/>
          <w:color w:val="333333"/>
          <w:sz w:val="44"/>
          <w:szCs w:val="44"/>
        </w:rPr>
      </w:pPr>
      <w:r>
        <w:rPr>
          <w:rFonts w:hint="eastAsia" w:ascii="方正小标宋简体" w:hAnsi="方正小标宋简体" w:eastAsia="方正小标宋简体" w:cs="方正小标宋简体"/>
          <w:b/>
          <w:bCs/>
          <w:color w:val="333333"/>
          <w:sz w:val="44"/>
          <w:szCs w:val="44"/>
          <w:lang w:val="en-US" w:eastAsia="zh-CN"/>
        </w:rPr>
        <w:t>雷鸣镇人民</w:t>
      </w:r>
      <w:r>
        <w:rPr>
          <w:rFonts w:hint="eastAsia" w:ascii="方正小标宋简体" w:hAnsi="方正小标宋简体" w:eastAsia="方正小标宋简体" w:cs="方正小标宋简体"/>
          <w:b/>
          <w:bCs/>
          <w:color w:val="333333"/>
          <w:sz w:val="44"/>
          <w:szCs w:val="44"/>
        </w:rPr>
        <w:t>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00" w:lineRule="exact"/>
        <w:jc w:val="center"/>
        <w:textAlignment w:val="auto"/>
        <w:rPr>
          <w:rFonts w:hint="eastAsia" w:ascii="方正小标宋简体" w:hAnsi="方正小标宋简体" w:eastAsia="方正小标宋简体" w:cs="方正小标宋简体"/>
          <w:b/>
          <w:bCs/>
          <w:color w:val="333333"/>
          <w:sz w:val="44"/>
          <w:szCs w:val="44"/>
        </w:rPr>
      </w:pPr>
      <w:r>
        <w:rPr>
          <w:rFonts w:hint="eastAsia" w:ascii="方正小标宋简体" w:hAnsi="方正小标宋简体" w:eastAsia="方正小标宋简体" w:cs="方正小标宋简体"/>
          <w:b/>
          <w:bCs/>
          <w:color w:val="333333"/>
          <w:sz w:val="44"/>
          <w:szCs w:val="44"/>
          <w:lang w:val="en-US" w:eastAsia="zh-CN"/>
        </w:rPr>
        <w:t>2023年度</w:t>
      </w:r>
      <w:r>
        <w:rPr>
          <w:rFonts w:hint="eastAsia" w:ascii="方正小标宋简体" w:hAnsi="方正小标宋简体" w:eastAsia="方正小标宋简体" w:cs="方正小标宋简体"/>
          <w:b/>
          <w:bCs/>
          <w:color w:val="333333"/>
          <w:sz w:val="44"/>
          <w:szCs w:val="44"/>
        </w:rPr>
        <w:t>信息公开工作年度报告</w:t>
      </w:r>
    </w:p>
    <w:p>
      <w:pPr>
        <w:pStyle w:val="2"/>
        <w:keepNext w:val="0"/>
        <w:keepLines w:val="0"/>
        <w:pageBreakBefore w:val="0"/>
        <w:widowControl/>
        <w:suppressLineNumbers w:val="0"/>
        <w:kinsoku/>
        <w:wordWrap/>
        <w:topLinePunct w:val="0"/>
        <w:autoSpaceDE/>
        <w:autoSpaceDN/>
        <w:bidi w:val="0"/>
        <w:adjustRightInd/>
        <w:snapToGrid/>
        <w:spacing w:before="0" w:beforeAutospacing="0" w:after="0" w:afterAutospacing="0" w:line="560" w:lineRule="exact"/>
        <w:ind w:left="0" w:firstLine="643" w:firstLineChars="200"/>
        <w:jc w:val="center"/>
        <w:textAlignment w:val="auto"/>
        <w:rPr>
          <w:rFonts w:hint="eastAsia" w:ascii="宋体" w:hAnsi="宋体" w:eastAsia="宋体" w:cs="宋体"/>
          <w:b/>
          <w:bCs/>
          <w:color w:val="333333"/>
          <w:sz w:val="32"/>
          <w:szCs w:val="32"/>
        </w:rPr>
      </w:pPr>
    </w:p>
    <w:p>
      <w:pPr>
        <w:pStyle w:val="2"/>
        <w:keepNext w:val="0"/>
        <w:keepLines w:val="0"/>
        <w:pageBreakBefore w:val="0"/>
        <w:widowControl/>
        <w:numPr>
          <w:numId w:val="0"/>
        </w:numPr>
        <w:suppressLineNumbers w:val="0"/>
        <w:kinsoku/>
        <w:wordWrap/>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黑体" w:hAnsi="黑体" w:eastAsia="黑体" w:cs="黑体"/>
          <w:b/>
          <w:bCs/>
          <w:color w:val="333333"/>
          <w:sz w:val="32"/>
          <w:szCs w:val="32"/>
        </w:rPr>
      </w:pPr>
      <w:r>
        <w:rPr>
          <w:rFonts w:hint="eastAsia" w:ascii="黑体" w:hAnsi="黑体" w:eastAsia="黑体" w:cs="黑体"/>
          <w:b/>
          <w:bCs/>
          <w:color w:val="333333"/>
          <w:sz w:val="32"/>
          <w:szCs w:val="32"/>
          <w:lang w:val="en-US" w:eastAsia="zh-CN"/>
        </w:rPr>
        <w:t>一、</w:t>
      </w:r>
      <w:r>
        <w:rPr>
          <w:rFonts w:hint="eastAsia" w:ascii="黑体" w:hAnsi="黑体" w:eastAsia="黑体" w:cs="黑体"/>
          <w:b/>
          <w:bCs/>
          <w:color w:val="333333"/>
          <w:sz w:val="32"/>
          <w:szCs w:val="32"/>
        </w:rPr>
        <w:t>总体情况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pacing w:val="0"/>
          <w:kern w:val="0"/>
          <w:sz w:val="32"/>
          <w:szCs w:val="32"/>
          <w:shd w:val="clear" w:fill="FFFFFF"/>
          <w:lang w:val="en-US" w:eastAsia="zh-CN" w:bidi="ar"/>
        </w:rPr>
      </w:pPr>
      <w:r>
        <w:rPr>
          <w:rFonts w:hint="eastAsia" w:ascii="仿宋_GB2312" w:hAnsi="仿宋_GB2312" w:eastAsia="仿宋_GB2312" w:cs="仿宋_GB2312"/>
          <w:spacing w:val="0"/>
          <w:kern w:val="0"/>
          <w:sz w:val="32"/>
          <w:szCs w:val="32"/>
          <w:shd w:val="clear" w:fill="FFFFFF"/>
          <w:lang w:val="en-US" w:eastAsia="zh-CN" w:bidi="ar"/>
        </w:rPr>
        <w:t>2023年，雷鸣镇严格按照《中华人民共和国政府信息公开条例》，不断规范政府信息公开内容，努力提高政府信息公开水平，积极做好政府信息公开工作。现将政府信息公开工作报告如下：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pacing w:val="0"/>
          <w:kern w:val="0"/>
          <w:sz w:val="32"/>
          <w:szCs w:val="32"/>
          <w:shd w:val="clear" w:fill="FFFFFF"/>
          <w:lang w:val="en-US" w:eastAsia="zh-CN" w:bidi="ar"/>
        </w:rPr>
      </w:pPr>
      <w:r>
        <w:rPr>
          <w:rFonts w:hint="eastAsia" w:ascii="仿宋_GB2312" w:hAnsi="仿宋_GB2312" w:eastAsia="仿宋_GB2312" w:cs="仿宋_GB2312"/>
          <w:spacing w:val="0"/>
          <w:kern w:val="0"/>
          <w:sz w:val="32"/>
          <w:szCs w:val="32"/>
          <w:shd w:val="clear" w:fill="FFFFFF"/>
          <w:lang w:val="en-US" w:eastAsia="zh-CN" w:bidi="ar"/>
        </w:rPr>
        <w:t>（一）强化思想认识，加强组织保障。2023年度，镇党委高度重视政务公开工作，把推行政务公开工作列入重要议事日程，同时与机关作风建设紧密结合起来，整体推进。使领导干部充分认识到推行政务公开是全面贯彻落实习近平新时代中国特色社会主义思想的具体体现，也是实行依法行政，转变工作作风，提高工作效率的一项重要举措，促使领导干部自觉抓好政务公开工作的落实。同时由于办公室人事变动，我镇及时调整了政务公开人员分工并完成工作交接，确保了政务公开组织协调工作不因人事变动受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pacing w:val="0"/>
          <w:kern w:val="0"/>
          <w:sz w:val="32"/>
          <w:szCs w:val="32"/>
          <w:shd w:val="clear" w:fill="FFFFFF"/>
          <w:lang w:val="en-US" w:eastAsia="zh-CN" w:bidi="ar"/>
        </w:rPr>
      </w:pPr>
      <w:r>
        <w:rPr>
          <w:rFonts w:hint="eastAsia" w:ascii="仿宋_GB2312" w:hAnsi="仿宋_GB2312" w:eastAsia="仿宋_GB2312" w:cs="仿宋_GB2312"/>
          <w:spacing w:val="0"/>
          <w:kern w:val="0"/>
          <w:sz w:val="32"/>
          <w:szCs w:val="32"/>
          <w:shd w:val="clear" w:fill="FFFFFF"/>
          <w:lang w:val="en-US" w:eastAsia="zh-CN" w:bidi="ar"/>
        </w:rPr>
        <w:t>（二）规范信息发布，提高信息质量。严格按照信息公开目录公开对应信息，保持信息内容符合栏目要求，出现错误进行调整及更新。严格做好信息公开时的主题分类工作，提高规范性文件获取的便利性，并在公布内容概述的同时，添加附件，以供下载。在公开内容上，我们严格按照定安县政务公开相关文件的要求，在公开基本内容的基础上，重点公开与群众切身利益密切相关的国家、省、市、县的规范性文件和政策解读，以及群众最关心、社会最敏感、反映最强烈的热点问题。严格按照时间节点重点做好各项财政资金的预决算信息公开，真正地做到主动、及时、全面、真实地公开内容，公开深度到位，公开程序规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pacing w:val="0"/>
          <w:kern w:val="0"/>
          <w:sz w:val="32"/>
          <w:szCs w:val="32"/>
          <w:shd w:val="clear" w:fill="FFFFFF"/>
          <w:lang w:val="en-US" w:eastAsia="zh-CN" w:bidi="ar"/>
        </w:rPr>
      </w:pPr>
      <w:r>
        <w:rPr>
          <w:rFonts w:hint="eastAsia" w:ascii="仿宋_GB2312" w:hAnsi="仿宋_GB2312" w:eastAsia="仿宋_GB2312" w:cs="仿宋_GB2312"/>
          <w:spacing w:val="0"/>
          <w:kern w:val="0"/>
          <w:sz w:val="32"/>
          <w:szCs w:val="32"/>
          <w:shd w:val="clear" w:fill="FFFFFF"/>
          <w:lang w:val="en-US" w:eastAsia="zh-CN" w:bidi="ar"/>
        </w:rPr>
        <w:t>（三）狠抓落实，确保工作取得实在成效。严格运行保密审查机制，落实领导责任制、岗位责任制，认真遵循政府信息公开工作保密管理“谁发布、谁负责、谁审查”“事前审查、依法审查”的总原则，严格遵守政府信息公开保密审查、登记制度，严格审查程序，保证了信息发布及时、准确、规范、完整。同时根据上级检查考核工作要求，认真对照查找，改进和完善工作中存在的不足，确保政府信息公开工作取得实在成效。</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黑体" w:hAnsi="黑体" w:eastAsia="黑体" w:cs="黑体"/>
          <w:b/>
          <w:bCs/>
          <w:color w:val="333333"/>
          <w:sz w:val="32"/>
          <w:szCs w:val="32"/>
        </w:rPr>
      </w:pPr>
      <w:r>
        <w:rPr>
          <w:rFonts w:hint="eastAsia" w:ascii="黑体" w:hAnsi="黑体" w:eastAsia="黑体" w:cs="黑体"/>
          <w:b/>
          <w:bCs/>
          <w:color w:val="333333"/>
          <w:sz w:val="32"/>
          <w:szCs w:val="32"/>
          <w:lang w:val="en-US" w:eastAsia="zh-CN"/>
        </w:rPr>
        <w:t>二、</w:t>
      </w:r>
      <w:r>
        <w:rPr>
          <w:rFonts w:hint="eastAsia" w:ascii="黑体" w:hAnsi="黑体" w:eastAsia="黑体" w:cs="黑体"/>
          <w:b/>
          <w:bCs/>
          <w:color w:val="333333"/>
          <w:sz w:val="32"/>
          <w:szCs w:val="32"/>
        </w:rPr>
        <w:t>主动公开政府信息情况</w:t>
      </w:r>
    </w:p>
    <w:tbl>
      <w:tblPr>
        <w:tblStyle w:val="3"/>
        <w:tblW w:w="92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320"/>
        <w:gridCol w:w="2320"/>
        <w:gridCol w:w="2320"/>
        <w:gridCol w:w="2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jc w:val="center"/>
        </w:trPr>
        <w:tc>
          <w:tcPr>
            <w:tcW w:w="928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jc w:val="center"/>
        </w:trPr>
        <w:tc>
          <w:tcPr>
            <w:tcW w:w="232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信息内容</w:t>
            </w:r>
          </w:p>
        </w:tc>
        <w:tc>
          <w:tcPr>
            <w:tcW w:w="232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color w:val="333333"/>
                <w:kern w:val="0"/>
                <w:sz w:val="20"/>
                <w:szCs w:val="20"/>
                <w:lang w:val="en-US" w:eastAsia="zh-CN" w:bidi="ar"/>
              </w:rPr>
              <w:t>制发件数</w:t>
            </w:r>
          </w:p>
        </w:tc>
        <w:tc>
          <w:tcPr>
            <w:tcW w:w="2320" w:type="dxa"/>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本年废止件数</w:t>
            </w:r>
          </w:p>
        </w:tc>
        <w:tc>
          <w:tcPr>
            <w:tcW w:w="232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color w:val="333333"/>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jc w:val="center"/>
        </w:trPr>
        <w:tc>
          <w:tcPr>
            <w:tcW w:w="232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规章</w:t>
            </w:r>
          </w:p>
        </w:tc>
        <w:tc>
          <w:tcPr>
            <w:tcW w:w="23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320" w:type="dxa"/>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3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jc w:val="center"/>
        </w:trPr>
        <w:tc>
          <w:tcPr>
            <w:tcW w:w="232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行政规范性文件</w:t>
            </w:r>
          </w:p>
        </w:tc>
        <w:tc>
          <w:tcPr>
            <w:tcW w:w="23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320" w:type="dxa"/>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3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jc w:val="center"/>
        </w:trPr>
        <w:tc>
          <w:tcPr>
            <w:tcW w:w="928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jc w:val="center"/>
        </w:trPr>
        <w:tc>
          <w:tcPr>
            <w:tcW w:w="2320" w:type="dxa"/>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信息内容</w:t>
            </w:r>
          </w:p>
        </w:tc>
        <w:tc>
          <w:tcPr>
            <w:tcW w:w="696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jc w:val="center"/>
        </w:trPr>
        <w:tc>
          <w:tcPr>
            <w:tcW w:w="2320" w:type="dxa"/>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行政许可</w:t>
            </w:r>
          </w:p>
        </w:tc>
        <w:tc>
          <w:tcPr>
            <w:tcW w:w="6960"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eastAsiaTheme="minorEastAsia"/>
                <w:lang w:val="en-US" w:eastAsia="zh-CN"/>
              </w:rPr>
            </w:pPr>
            <w:r>
              <w:rPr>
                <w:rFonts w:hint="eastAsia"/>
                <w:lang w:val="en-US" w:eastAsia="zh-CN"/>
              </w:rPr>
              <w:t>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jc w:val="center"/>
        </w:trPr>
        <w:tc>
          <w:tcPr>
            <w:tcW w:w="928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jc w:val="center"/>
        </w:trPr>
        <w:tc>
          <w:tcPr>
            <w:tcW w:w="232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信息内容</w:t>
            </w:r>
          </w:p>
        </w:tc>
        <w:tc>
          <w:tcPr>
            <w:tcW w:w="6960"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jc w:val="center"/>
        </w:trPr>
        <w:tc>
          <w:tcPr>
            <w:tcW w:w="232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行政处罚</w:t>
            </w:r>
          </w:p>
        </w:tc>
        <w:tc>
          <w:tcPr>
            <w:tcW w:w="696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jc w:val="center"/>
        </w:trPr>
        <w:tc>
          <w:tcPr>
            <w:tcW w:w="232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行政强制</w:t>
            </w:r>
          </w:p>
        </w:tc>
        <w:tc>
          <w:tcPr>
            <w:tcW w:w="696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jc w:val="center"/>
        </w:trPr>
        <w:tc>
          <w:tcPr>
            <w:tcW w:w="928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jc w:val="center"/>
        </w:trPr>
        <w:tc>
          <w:tcPr>
            <w:tcW w:w="232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信息内容</w:t>
            </w:r>
          </w:p>
        </w:tc>
        <w:tc>
          <w:tcPr>
            <w:tcW w:w="6960"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atLeast"/>
          <w:jc w:val="center"/>
        </w:trPr>
        <w:tc>
          <w:tcPr>
            <w:tcW w:w="232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行政事业性收费</w:t>
            </w:r>
          </w:p>
        </w:tc>
        <w:tc>
          <w:tcPr>
            <w:tcW w:w="6960"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leftChars="0" w:right="0" w:rightChars="0" w:firstLine="643" w:firstLineChars="200"/>
        <w:jc w:val="both"/>
        <w:textAlignment w:val="auto"/>
        <w:rPr>
          <w:rFonts w:hint="eastAsia" w:ascii="黑体" w:hAnsi="黑体" w:eastAsia="黑体" w:cs="黑体"/>
          <w:b/>
          <w:bCs/>
          <w:color w:val="333333"/>
          <w:sz w:val="32"/>
          <w:szCs w:val="32"/>
        </w:rPr>
      </w:pPr>
      <w:r>
        <w:rPr>
          <w:rFonts w:hint="eastAsia" w:ascii="黑体" w:hAnsi="黑体" w:eastAsia="黑体" w:cs="黑体"/>
          <w:b/>
          <w:bCs/>
          <w:color w:val="333333"/>
          <w:sz w:val="32"/>
          <w:szCs w:val="32"/>
          <w:lang w:val="en-US" w:eastAsia="zh-CN"/>
        </w:rPr>
        <w:t>三、</w:t>
      </w:r>
      <w:r>
        <w:rPr>
          <w:rFonts w:hint="eastAsia" w:ascii="黑体" w:hAnsi="黑体" w:eastAsia="黑体" w:cs="黑体"/>
          <w:b/>
          <w:bCs/>
          <w:color w:val="333333"/>
          <w:sz w:val="32"/>
          <w:szCs w:val="32"/>
        </w:rPr>
        <w:t>收到和处理政府信息公开申请情况</w:t>
      </w:r>
    </w:p>
    <w:tbl>
      <w:tblPr>
        <w:tblStyle w:val="3"/>
        <w:tblW w:w="897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57" w:type="dxa"/>
          <w:bottom w:w="0" w:type="dxa"/>
          <w:right w:w="57" w:type="dxa"/>
        </w:tblCellMar>
      </w:tblPr>
      <w:tblGrid>
        <w:gridCol w:w="692"/>
        <w:gridCol w:w="845"/>
        <w:gridCol w:w="3024"/>
        <w:gridCol w:w="627"/>
        <w:gridCol w:w="627"/>
        <w:gridCol w:w="627"/>
        <w:gridCol w:w="627"/>
        <w:gridCol w:w="627"/>
        <w:gridCol w:w="649"/>
        <w:gridCol w:w="63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529" w:hRule="atLeast"/>
          <w:jc w:val="center"/>
        </w:trPr>
        <w:tc>
          <w:tcPr>
            <w:tcW w:w="4561" w:type="dxa"/>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ascii="楷体" w:hAnsi="楷体" w:eastAsia="楷体" w:cs="楷体"/>
                <w:color w:val="333333"/>
                <w:kern w:val="0"/>
                <w:sz w:val="20"/>
                <w:szCs w:val="20"/>
                <w:lang w:val="en-US" w:eastAsia="zh-CN" w:bidi="ar"/>
              </w:rPr>
              <w:t>（本列数据的勾稽关系为：第一项加第二项之和，等于第三项加第四项之和）</w:t>
            </w:r>
          </w:p>
        </w:tc>
        <w:tc>
          <w:tcPr>
            <w:tcW w:w="4418" w:type="dxa"/>
            <w:gridSpan w:val="7"/>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529" w:hRule="atLeast"/>
          <w:jc w:val="center"/>
        </w:trPr>
        <w:tc>
          <w:tcPr>
            <w:tcW w:w="4561" w:type="dxa"/>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627" w:type="dxa"/>
            <w:vMerge w:val="restar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自然人</w:t>
            </w:r>
          </w:p>
        </w:tc>
        <w:tc>
          <w:tcPr>
            <w:tcW w:w="3157" w:type="dxa"/>
            <w:gridSpan w:val="5"/>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法人或其他组织</w:t>
            </w:r>
          </w:p>
        </w:tc>
        <w:tc>
          <w:tcPr>
            <w:tcW w:w="634" w:type="dxa"/>
            <w:vMerge w:val="restart"/>
            <w:tcBorders>
              <w:top w:val="single" w:color="auto" w:sz="8"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1257" w:hRule="atLeast"/>
          <w:jc w:val="center"/>
        </w:trPr>
        <w:tc>
          <w:tcPr>
            <w:tcW w:w="4561" w:type="dxa"/>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627" w:type="dxa"/>
            <w:vMerge w:val="continue"/>
            <w:tcBorders>
              <w:top w:val="nil"/>
              <w:left w:val="nil"/>
              <w:bottom w:val="single" w:color="auto" w:sz="8"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企业</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机构</w:t>
            </w:r>
          </w:p>
        </w:tc>
        <w:tc>
          <w:tcPr>
            <w:tcW w:w="627"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社会公益组织</w:t>
            </w:r>
          </w:p>
        </w:tc>
        <w:tc>
          <w:tcPr>
            <w:tcW w:w="627"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法律服务机构</w:t>
            </w:r>
          </w:p>
        </w:tc>
        <w:tc>
          <w:tcPr>
            <w:tcW w:w="649"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其他</w:t>
            </w:r>
          </w:p>
        </w:tc>
        <w:tc>
          <w:tcPr>
            <w:tcW w:w="634" w:type="dxa"/>
            <w:vMerge w:val="continue"/>
            <w:tcBorders>
              <w:top w:val="single" w:color="auto" w:sz="8"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529" w:hRule="atLeast"/>
          <w:jc w:val="center"/>
        </w:trPr>
        <w:tc>
          <w:tcPr>
            <w:tcW w:w="4561" w:type="dxa"/>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一、本年新收政府信息公开申请数量</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4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3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529" w:hRule="atLeast"/>
          <w:jc w:val="center"/>
        </w:trPr>
        <w:tc>
          <w:tcPr>
            <w:tcW w:w="4561" w:type="dxa"/>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二、上年结转政府信息公开申请数量</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4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3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529" w:hRule="atLeast"/>
          <w:jc w:val="center"/>
        </w:trPr>
        <w:tc>
          <w:tcPr>
            <w:tcW w:w="692" w:type="dxa"/>
            <w:vMerge w:val="restart"/>
            <w:tcBorders>
              <w:top w:val="nil"/>
              <w:left w:val="single" w:color="auto" w:sz="8" w:space="0"/>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三、本年度办理结果</w:t>
            </w:r>
          </w:p>
        </w:tc>
        <w:tc>
          <w:tcPr>
            <w:tcW w:w="3869" w:type="dxa"/>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（一）予以公开</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4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3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887" w:hRule="atLeast"/>
          <w:jc w:val="center"/>
        </w:trPr>
        <w:tc>
          <w:tcPr>
            <w:tcW w:w="692"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869" w:type="dxa"/>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（二）部分公开</w:t>
            </w:r>
            <w:r>
              <w:rPr>
                <w:rFonts w:hint="eastAsia" w:ascii="楷体" w:hAnsi="楷体" w:eastAsia="楷体" w:cs="楷体"/>
                <w:color w:val="333333"/>
                <w:kern w:val="0"/>
                <w:sz w:val="20"/>
                <w:szCs w:val="20"/>
                <w:lang w:val="en-US" w:eastAsia="zh-CN" w:bidi="ar"/>
              </w:rPr>
              <w:t>（区分处理的，只计这一情形，不计其他情形）</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4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3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529" w:hRule="atLeast"/>
          <w:jc w:val="center"/>
        </w:trPr>
        <w:tc>
          <w:tcPr>
            <w:tcW w:w="692"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845" w:type="dxa"/>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（三）不予公开</w:t>
            </w:r>
          </w:p>
        </w:tc>
        <w:tc>
          <w:tcPr>
            <w:tcW w:w="302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1.属于国家秘密</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4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3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529" w:hRule="atLeast"/>
          <w:jc w:val="center"/>
        </w:trPr>
        <w:tc>
          <w:tcPr>
            <w:tcW w:w="692"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845"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02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2.其他法律行政法规禁止公开</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4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3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529" w:hRule="atLeast"/>
          <w:jc w:val="center"/>
        </w:trPr>
        <w:tc>
          <w:tcPr>
            <w:tcW w:w="692"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845"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02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3.危及“三安全一稳定”</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4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3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529" w:hRule="atLeast"/>
          <w:jc w:val="center"/>
        </w:trPr>
        <w:tc>
          <w:tcPr>
            <w:tcW w:w="692"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845"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02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4.保护第三方合法权益</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4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3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529" w:hRule="atLeast"/>
          <w:jc w:val="center"/>
        </w:trPr>
        <w:tc>
          <w:tcPr>
            <w:tcW w:w="692"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845"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02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5.属于三类内部事务信息</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4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3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529" w:hRule="atLeast"/>
          <w:jc w:val="center"/>
        </w:trPr>
        <w:tc>
          <w:tcPr>
            <w:tcW w:w="692"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845"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02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6.属于四类过程性信息</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4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3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529" w:hRule="atLeast"/>
          <w:jc w:val="center"/>
        </w:trPr>
        <w:tc>
          <w:tcPr>
            <w:tcW w:w="692"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845"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02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7.属于行政执法案卷</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4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3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529" w:hRule="atLeast"/>
          <w:jc w:val="center"/>
        </w:trPr>
        <w:tc>
          <w:tcPr>
            <w:tcW w:w="692"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845"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02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8.属于行政查询事项</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4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3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529" w:hRule="atLeast"/>
          <w:jc w:val="center"/>
        </w:trPr>
        <w:tc>
          <w:tcPr>
            <w:tcW w:w="692"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845" w:type="dxa"/>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（四）无法提供</w:t>
            </w:r>
          </w:p>
        </w:tc>
        <w:tc>
          <w:tcPr>
            <w:tcW w:w="302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1.本机关不掌握相关政府信息</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4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3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529" w:hRule="atLeast"/>
          <w:jc w:val="center"/>
        </w:trPr>
        <w:tc>
          <w:tcPr>
            <w:tcW w:w="692"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845"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02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2.没有现成信息需要另行制作</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4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3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529" w:hRule="atLeast"/>
          <w:jc w:val="center"/>
        </w:trPr>
        <w:tc>
          <w:tcPr>
            <w:tcW w:w="692"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845"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02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3.补正后申请内容仍不明确</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4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3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529" w:hRule="atLeast"/>
          <w:jc w:val="center"/>
        </w:trPr>
        <w:tc>
          <w:tcPr>
            <w:tcW w:w="692"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845" w:type="dxa"/>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（五）不予处理</w:t>
            </w:r>
          </w:p>
        </w:tc>
        <w:tc>
          <w:tcPr>
            <w:tcW w:w="302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1.信访举报投诉类申请</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4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3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57" w:type="dxa"/>
            <w:bottom w:w="0" w:type="dxa"/>
            <w:right w:w="57" w:type="dxa"/>
          </w:tblCellMar>
        </w:tblPrEx>
        <w:trPr>
          <w:trHeight w:val="529" w:hRule="atLeast"/>
          <w:jc w:val="center"/>
        </w:trPr>
        <w:tc>
          <w:tcPr>
            <w:tcW w:w="692"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845"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02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2.重复申请</w:t>
            </w:r>
          </w:p>
        </w:tc>
        <w:tc>
          <w:tcPr>
            <w:tcW w:w="627"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49"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3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529" w:hRule="atLeast"/>
          <w:jc w:val="center"/>
        </w:trPr>
        <w:tc>
          <w:tcPr>
            <w:tcW w:w="692"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845"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02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3.要求提供公开出版物</w:t>
            </w:r>
          </w:p>
        </w:tc>
        <w:tc>
          <w:tcPr>
            <w:tcW w:w="627"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49"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3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529" w:hRule="atLeast"/>
          <w:jc w:val="center"/>
        </w:trPr>
        <w:tc>
          <w:tcPr>
            <w:tcW w:w="692"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845"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02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4.无正当理由大量反复申请</w:t>
            </w:r>
          </w:p>
        </w:tc>
        <w:tc>
          <w:tcPr>
            <w:tcW w:w="627"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49"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34"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1064" w:hRule="atLeast"/>
          <w:jc w:val="center"/>
        </w:trPr>
        <w:tc>
          <w:tcPr>
            <w:tcW w:w="692"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845"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024"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pPr>
            <w:r>
              <w:rPr>
                <w:rFonts w:hint="eastAsia" w:ascii="宋体" w:hAnsi="宋体" w:eastAsia="宋体" w:cs="宋体"/>
                <w:color w:val="333333"/>
                <w:kern w:val="0"/>
                <w:sz w:val="20"/>
                <w:szCs w:val="20"/>
                <w:lang w:val="en-US" w:eastAsia="zh-CN" w:bidi="ar"/>
              </w:rPr>
              <w:t>5.要求行政机关确认或重新出具已获取信息</w:t>
            </w:r>
          </w:p>
        </w:tc>
        <w:tc>
          <w:tcPr>
            <w:tcW w:w="627"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49"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34"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1223" w:hRule="atLeast"/>
          <w:jc w:val="center"/>
        </w:trPr>
        <w:tc>
          <w:tcPr>
            <w:tcW w:w="692"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845" w:type="dxa"/>
            <w:vMerge w:val="restart"/>
            <w:tcBorders>
              <w:top w:val="outset" w:color="auto" w:sz="6"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（六）其他处理</w:t>
            </w:r>
          </w:p>
        </w:tc>
        <w:tc>
          <w:tcPr>
            <w:tcW w:w="302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pPr>
            <w:r>
              <w:rPr>
                <w:rFonts w:hint="eastAsia" w:ascii="宋体" w:hAnsi="宋体" w:eastAsia="宋体" w:cs="宋体"/>
                <w:color w:val="333333"/>
                <w:kern w:val="0"/>
                <w:sz w:val="20"/>
                <w:szCs w:val="20"/>
                <w:lang w:val="en-US" w:eastAsia="zh-CN" w:bidi="ar"/>
              </w:rPr>
              <w:t>1.申请人无正当理由逾期不补正、行政机关不再处理其政府信息公开申请</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4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3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57" w:type="dxa"/>
            <w:bottom w:w="0" w:type="dxa"/>
            <w:right w:w="57" w:type="dxa"/>
          </w:tblCellMar>
        </w:tblPrEx>
        <w:trPr>
          <w:trHeight w:val="1257" w:hRule="atLeast"/>
          <w:jc w:val="center"/>
        </w:trPr>
        <w:tc>
          <w:tcPr>
            <w:tcW w:w="692"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845" w:type="dxa"/>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02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pPr>
            <w:r>
              <w:rPr>
                <w:rFonts w:hint="eastAsia" w:ascii="宋体" w:hAnsi="宋体" w:eastAsia="宋体" w:cs="宋体"/>
                <w:color w:val="333333"/>
                <w:kern w:val="0"/>
                <w:sz w:val="20"/>
                <w:szCs w:val="20"/>
                <w:lang w:val="en-US" w:eastAsia="zh-CN" w:bidi="ar"/>
              </w:rPr>
              <w:t>2.申请人逾期未按收费通知要求缴纳费用、行政机关不再处理其政府信息公开申请</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4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3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57" w:type="dxa"/>
            <w:bottom w:w="0" w:type="dxa"/>
            <w:right w:w="57" w:type="dxa"/>
          </w:tblCellMar>
        </w:tblPrEx>
        <w:trPr>
          <w:trHeight w:val="529" w:hRule="atLeast"/>
          <w:jc w:val="center"/>
        </w:trPr>
        <w:tc>
          <w:tcPr>
            <w:tcW w:w="692"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845" w:type="dxa"/>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02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3.其他</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4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3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529" w:hRule="atLeast"/>
          <w:jc w:val="center"/>
        </w:trPr>
        <w:tc>
          <w:tcPr>
            <w:tcW w:w="692"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869" w:type="dxa"/>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（七）总计</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4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3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57" w:type="dxa"/>
            <w:bottom w:w="0" w:type="dxa"/>
            <w:right w:w="57" w:type="dxa"/>
          </w:tblCellMar>
        </w:tblPrEx>
        <w:trPr>
          <w:trHeight w:val="697" w:hRule="atLeast"/>
          <w:jc w:val="center"/>
        </w:trPr>
        <w:tc>
          <w:tcPr>
            <w:tcW w:w="4561" w:type="dxa"/>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四、结转下年度继续办理</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2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4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34"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bl>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leftChars="0" w:right="0" w:rightChars="0" w:firstLine="643" w:firstLineChars="200"/>
        <w:jc w:val="both"/>
        <w:textAlignment w:val="auto"/>
        <w:rPr>
          <w:rFonts w:hint="eastAsia" w:ascii="黑体" w:hAnsi="黑体" w:eastAsia="黑体" w:cs="黑体"/>
          <w:b/>
          <w:bCs/>
          <w:color w:val="333333"/>
          <w:sz w:val="32"/>
          <w:szCs w:val="32"/>
        </w:rPr>
      </w:pPr>
      <w:r>
        <w:rPr>
          <w:rFonts w:hint="eastAsia" w:ascii="黑体" w:hAnsi="黑体" w:eastAsia="黑体" w:cs="黑体"/>
          <w:b/>
          <w:bCs/>
          <w:color w:val="333333"/>
          <w:sz w:val="32"/>
          <w:szCs w:val="32"/>
          <w:lang w:val="en-US" w:eastAsia="zh-CN"/>
        </w:rPr>
        <w:t>四、</w:t>
      </w:r>
      <w:r>
        <w:rPr>
          <w:rFonts w:hint="eastAsia" w:ascii="黑体" w:hAnsi="黑体" w:eastAsia="黑体" w:cs="黑体"/>
          <w:b/>
          <w:bCs/>
          <w:color w:val="333333"/>
          <w:sz w:val="32"/>
          <w:szCs w:val="32"/>
        </w:rPr>
        <w:t>政府信息公开行政复议、行政诉讼情况</w:t>
      </w:r>
    </w:p>
    <w:tbl>
      <w:tblPr>
        <w:tblStyle w:val="3"/>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96"/>
        <w:gridCol w:w="596"/>
        <w:gridCol w:w="596"/>
        <w:gridCol w:w="596"/>
        <w:gridCol w:w="611"/>
        <w:gridCol w:w="596"/>
        <w:gridCol w:w="596"/>
        <w:gridCol w:w="597"/>
        <w:gridCol w:w="597"/>
        <w:gridCol w:w="612"/>
        <w:gridCol w:w="597"/>
        <w:gridCol w:w="597"/>
        <w:gridCol w:w="597"/>
        <w:gridCol w:w="597"/>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299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行政复议</w:t>
            </w:r>
          </w:p>
        </w:tc>
        <w:tc>
          <w:tcPr>
            <w:tcW w:w="6004"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59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结果维持</w:t>
            </w:r>
          </w:p>
        </w:tc>
        <w:tc>
          <w:tcPr>
            <w:tcW w:w="59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纠正</w:t>
            </w:r>
          </w:p>
        </w:tc>
        <w:tc>
          <w:tcPr>
            <w:tcW w:w="5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p>
        </w:tc>
        <w:tc>
          <w:tcPr>
            <w:tcW w:w="5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审结</w:t>
            </w:r>
          </w:p>
        </w:tc>
        <w:tc>
          <w:tcPr>
            <w:tcW w:w="6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总计</w:t>
            </w:r>
          </w:p>
        </w:tc>
        <w:tc>
          <w:tcPr>
            <w:tcW w:w="299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未经复议直接起诉</w:t>
            </w:r>
          </w:p>
        </w:tc>
        <w:tc>
          <w:tcPr>
            <w:tcW w:w="300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99" w:hRule="atLeast"/>
          <w:jc w:val="center"/>
        </w:trPr>
        <w:tc>
          <w:tcPr>
            <w:tcW w:w="596"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596"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5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5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6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维持</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纠正</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审结</w:t>
            </w: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维持</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纠正</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结果</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审结</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ascii="黑体" w:hAnsi="宋体" w:eastAsia="黑体" w:cs="黑体"/>
                <w:color w:val="333333"/>
                <w:kern w:val="2"/>
                <w:sz w:val="20"/>
                <w:szCs w:val="20"/>
                <w:lang w:val="en-US" w:eastAsia="zh-CN" w:bidi="ar"/>
              </w:rPr>
              <w:t> </w:t>
            </w:r>
            <w:r>
              <w:rPr>
                <w:rFonts w:hint="eastAsia" w:ascii="黑体" w:hAnsi="宋体" w:eastAsia="黑体" w:cs="黑体"/>
                <w:color w:val="333333"/>
                <w:kern w:val="2"/>
                <w:sz w:val="20"/>
                <w:szCs w:val="20"/>
                <w:lang w:val="en-US" w:eastAsia="zh-CN" w:bidi="ar"/>
              </w:rPr>
              <w:t>0</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asciiTheme="minorHAnsi" w:hAnsiTheme="minorHAnsi" w:eastAsiaTheme="minorEastAsia" w:cstheme="minorBidi"/>
                <w:kern w:val="2"/>
                <w:sz w:val="21"/>
                <w:szCs w:val="24"/>
                <w:lang w:val="en-US" w:eastAsia="zh-CN" w:bidi="ar-SA"/>
              </w:rPr>
            </w:pPr>
            <w:r>
              <w:rPr>
                <w:rFonts w:ascii="黑体" w:hAnsi="宋体" w:eastAsia="黑体" w:cs="黑体"/>
                <w:color w:val="333333"/>
                <w:kern w:val="2"/>
                <w:sz w:val="20"/>
                <w:szCs w:val="20"/>
                <w:lang w:val="en-US" w:eastAsia="zh-CN" w:bidi="ar"/>
              </w:rPr>
              <w:t> </w:t>
            </w:r>
            <w:r>
              <w:rPr>
                <w:rFonts w:hint="eastAsia" w:ascii="黑体" w:hAnsi="宋体" w:eastAsia="黑体" w:cs="黑体"/>
                <w:color w:val="333333"/>
                <w:kern w:val="2"/>
                <w:sz w:val="20"/>
                <w:szCs w:val="20"/>
                <w:lang w:val="en-US" w:eastAsia="zh-CN" w:bidi="ar"/>
              </w:rPr>
              <w:t>0</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asciiTheme="minorHAnsi" w:hAnsiTheme="minorHAnsi" w:eastAsiaTheme="minorEastAsia" w:cstheme="minorBidi"/>
                <w:kern w:val="2"/>
                <w:sz w:val="21"/>
                <w:szCs w:val="24"/>
                <w:lang w:val="en-US" w:eastAsia="zh-CN" w:bidi="ar-SA"/>
              </w:rPr>
            </w:pPr>
            <w:r>
              <w:rPr>
                <w:rFonts w:hint="eastAsia" w:ascii="黑体" w:hAnsi="宋体" w:eastAsia="黑体" w:cs="黑体"/>
                <w:color w:val="333333"/>
                <w:kern w:val="2"/>
                <w:sz w:val="20"/>
                <w:szCs w:val="20"/>
                <w:lang w:val="en-US" w:eastAsia="zh-CN" w:bidi="ar"/>
              </w:rPr>
              <w:t> 0</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asciiTheme="minorHAnsi" w:hAnsiTheme="minorHAnsi" w:eastAsiaTheme="minorEastAsia" w:cstheme="minorBidi"/>
                <w:kern w:val="2"/>
                <w:sz w:val="21"/>
                <w:szCs w:val="24"/>
                <w:lang w:val="en-US" w:eastAsia="zh-CN" w:bidi="ar-SA"/>
              </w:rPr>
            </w:pPr>
            <w:r>
              <w:rPr>
                <w:rFonts w:hint="eastAsia" w:ascii="黑体" w:hAnsi="宋体" w:eastAsia="黑体" w:cs="黑体"/>
                <w:color w:val="333333"/>
                <w:kern w:val="2"/>
                <w:sz w:val="20"/>
                <w:szCs w:val="20"/>
                <w:lang w:val="en-US" w:eastAsia="zh-CN" w:bidi="ar"/>
              </w:rPr>
              <w:t> 0</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asciiTheme="minorHAnsi" w:hAnsiTheme="minorHAnsi" w:eastAsiaTheme="minorEastAsia" w:cstheme="minorBidi"/>
                <w:kern w:val="2"/>
                <w:sz w:val="21"/>
                <w:szCs w:val="24"/>
                <w:lang w:val="en-US" w:eastAsia="zh-CN" w:bidi="ar-SA"/>
              </w:rPr>
            </w:pPr>
            <w:r>
              <w:rPr>
                <w:rFonts w:hint="eastAsia" w:ascii="黑体" w:hAnsi="宋体" w:eastAsia="黑体" w:cs="黑体"/>
                <w:color w:val="333333"/>
                <w:kern w:val="2"/>
                <w:sz w:val="20"/>
                <w:szCs w:val="20"/>
                <w:lang w:val="en-US" w:eastAsia="zh-CN" w:bidi="ar"/>
              </w:rPr>
              <w:t> 0</w:t>
            </w: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asciiTheme="minorHAnsi" w:hAnsiTheme="minorHAnsi" w:eastAsiaTheme="minorEastAsia" w:cstheme="minorBidi"/>
                <w:kern w:val="2"/>
                <w:sz w:val="21"/>
                <w:szCs w:val="24"/>
                <w:lang w:val="en-US" w:eastAsia="zh-CN" w:bidi="ar-SA"/>
              </w:rPr>
            </w:pPr>
            <w:r>
              <w:rPr>
                <w:rFonts w:hint="eastAsia" w:ascii="黑体" w:hAnsi="宋体" w:eastAsia="黑体" w:cs="黑体"/>
                <w:color w:val="333333"/>
                <w:kern w:val="2"/>
                <w:sz w:val="20"/>
                <w:szCs w:val="20"/>
                <w:lang w:val="en-US" w:eastAsia="zh-CN" w:bidi="ar"/>
              </w:rPr>
              <w:t> 0</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ascii="黑体" w:hAnsi="宋体" w:eastAsia="黑体" w:cs="黑体"/>
                <w:color w:val="333333"/>
                <w:kern w:val="2"/>
                <w:sz w:val="20"/>
                <w:szCs w:val="20"/>
                <w:lang w:val="en-US" w:eastAsia="zh-CN" w:bidi="ar"/>
              </w:rPr>
              <w:t> </w:t>
            </w:r>
            <w:r>
              <w:rPr>
                <w:rFonts w:hint="eastAsia" w:ascii="黑体" w:hAnsi="宋体" w:eastAsia="黑体" w:cs="黑体"/>
                <w:color w:val="333333"/>
                <w:kern w:val="2"/>
                <w:sz w:val="20"/>
                <w:szCs w:val="20"/>
                <w:lang w:val="en-US" w:eastAsia="zh-CN" w:bidi="ar"/>
              </w:rPr>
              <w:t>0</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leftChars="0" w:right="0" w:rightChars="0" w:firstLine="643" w:firstLineChars="200"/>
        <w:jc w:val="both"/>
        <w:textAlignment w:val="auto"/>
        <w:rPr>
          <w:rFonts w:hint="eastAsia" w:ascii="黑体" w:hAnsi="黑体" w:eastAsia="黑体" w:cs="黑体"/>
          <w:b/>
          <w:bCs/>
          <w:color w:val="333333"/>
          <w:sz w:val="32"/>
          <w:szCs w:val="32"/>
        </w:rPr>
      </w:pPr>
      <w:r>
        <w:rPr>
          <w:rFonts w:hint="eastAsia" w:ascii="黑体" w:hAnsi="黑体" w:eastAsia="黑体" w:cs="黑体"/>
          <w:b/>
          <w:bCs/>
          <w:color w:val="333333"/>
          <w:sz w:val="32"/>
          <w:szCs w:val="32"/>
          <w:lang w:val="en-US" w:eastAsia="zh-CN"/>
        </w:rPr>
        <w:t>五、</w:t>
      </w:r>
      <w:r>
        <w:rPr>
          <w:rFonts w:hint="eastAsia" w:ascii="黑体" w:hAnsi="黑体" w:eastAsia="黑体" w:cs="黑体"/>
          <w:b/>
          <w:bCs/>
          <w:color w:val="333333"/>
          <w:sz w:val="32"/>
          <w:szCs w:val="32"/>
        </w:rPr>
        <w:t>存在的主要问题及改进情况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pacing w:val="0"/>
          <w:kern w:val="0"/>
          <w:sz w:val="32"/>
          <w:szCs w:val="32"/>
          <w:shd w:val="clear" w:fill="FFFFFF"/>
          <w:lang w:val="en-US" w:eastAsia="zh-CN" w:bidi="ar"/>
        </w:rPr>
      </w:pPr>
      <w:r>
        <w:rPr>
          <w:rFonts w:hint="eastAsia" w:ascii="仿宋_GB2312" w:hAnsi="仿宋_GB2312" w:eastAsia="仿宋_GB2312" w:cs="仿宋_GB2312"/>
          <w:spacing w:val="0"/>
          <w:kern w:val="0"/>
          <w:sz w:val="32"/>
          <w:szCs w:val="32"/>
          <w:shd w:val="clear" w:fill="FFFFFF"/>
          <w:lang w:val="en-US" w:eastAsia="zh-CN" w:bidi="ar"/>
        </w:rPr>
        <w:t>（一）工作中存在的问题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pacing w:val="0"/>
          <w:kern w:val="0"/>
          <w:sz w:val="32"/>
          <w:szCs w:val="32"/>
          <w:shd w:val="clear" w:fill="FFFFFF"/>
          <w:lang w:val="en-US" w:eastAsia="zh-CN" w:bidi="ar"/>
        </w:rPr>
      </w:pPr>
      <w:r>
        <w:rPr>
          <w:rFonts w:hint="eastAsia" w:ascii="仿宋_GB2312" w:hAnsi="仿宋_GB2312" w:eastAsia="仿宋_GB2312" w:cs="仿宋_GB2312"/>
          <w:spacing w:val="0"/>
          <w:kern w:val="0"/>
          <w:sz w:val="32"/>
          <w:szCs w:val="32"/>
          <w:shd w:val="clear" w:fill="FFFFFF"/>
          <w:lang w:val="en-US" w:eastAsia="zh-CN" w:bidi="ar"/>
        </w:rPr>
        <w:t>1.对信息公开工作认识不足，创造性开展工作的主动性不够；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pacing w:val="0"/>
          <w:kern w:val="0"/>
          <w:sz w:val="32"/>
          <w:szCs w:val="32"/>
          <w:shd w:val="clear" w:fill="FFFFFF"/>
          <w:lang w:val="en-US" w:eastAsia="zh-CN" w:bidi="ar"/>
        </w:rPr>
      </w:pPr>
      <w:r>
        <w:rPr>
          <w:rFonts w:hint="eastAsia" w:ascii="仿宋_GB2312" w:hAnsi="仿宋_GB2312" w:eastAsia="仿宋_GB2312" w:cs="仿宋_GB2312"/>
          <w:spacing w:val="0"/>
          <w:kern w:val="0"/>
          <w:sz w:val="32"/>
          <w:szCs w:val="32"/>
          <w:shd w:val="clear" w:fill="FFFFFF"/>
          <w:lang w:val="en-US" w:eastAsia="zh-CN" w:bidi="ar"/>
        </w:rPr>
        <w:t>2.公开的内容不够规范，内容不具体，未能突出重点。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pacing w:val="0"/>
          <w:kern w:val="0"/>
          <w:sz w:val="32"/>
          <w:szCs w:val="32"/>
          <w:shd w:val="clear" w:fill="FFFFFF"/>
          <w:lang w:val="en-US" w:eastAsia="zh-CN" w:bidi="ar"/>
        </w:rPr>
      </w:pPr>
      <w:r>
        <w:rPr>
          <w:rFonts w:hint="eastAsia" w:ascii="仿宋_GB2312" w:hAnsi="仿宋_GB2312" w:eastAsia="仿宋_GB2312" w:cs="仿宋_GB2312"/>
          <w:spacing w:val="0"/>
          <w:kern w:val="0"/>
          <w:sz w:val="32"/>
          <w:szCs w:val="32"/>
          <w:shd w:val="clear" w:fill="FFFFFF"/>
          <w:lang w:val="en-US" w:eastAsia="zh-CN" w:bidi="ar"/>
        </w:rPr>
        <w:t>（二）整改措施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pacing w:val="0"/>
          <w:kern w:val="0"/>
          <w:sz w:val="32"/>
          <w:szCs w:val="32"/>
          <w:shd w:val="clear" w:fill="FFFFFF"/>
          <w:lang w:val="en-US" w:eastAsia="zh-CN" w:bidi="ar"/>
        </w:rPr>
      </w:pPr>
      <w:r>
        <w:rPr>
          <w:rFonts w:hint="eastAsia" w:ascii="仿宋_GB2312" w:hAnsi="仿宋_GB2312" w:eastAsia="仿宋_GB2312" w:cs="仿宋_GB2312"/>
          <w:spacing w:val="0"/>
          <w:kern w:val="0"/>
          <w:sz w:val="32"/>
          <w:szCs w:val="32"/>
          <w:shd w:val="clear" w:fill="FFFFFF"/>
          <w:lang w:val="en-US" w:eastAsia="zh-CN" w:bidi="ar"/>
        </w:rPr>
        <w:t>1.进一步组织学习《条例》，提高干部执行《条例》能力，不断增强工作人员信息公开的主动意识。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pacing w:val="0"/>
          <w:kern w:val="0"/>
          <w:sz w:val="32"/>
          <w:szCs w:val="32"/>
          <w:shd w:val="clear" w:fill="FFFFFF"/>
          <w:lang w:val="en-US" w:eastAsia="zh-CN" w:bidi="ar"/>
        </w:rPr>
      </w:pPr>
      <w:r>
        <w:rPr>
          <w:rFonts w:hint="eastAsia" w:ascii="仿宋_GB2312" w:hAnsi="仿宋_GB2312" w:eastAsia="仿宋_GB2312" w:cs="仿宋_GB2312"/>
          <w:spacing w:val="0"/>
          <w:kern w:val="0"/>
          <w:sz w:val="32"/>
          <w:szCs w:val="32"/>
          <w:shd w:val="clear" w:fill="FFFFFF"/>
          <w:lang w:val="en-US" w:eastAsia="zh-CN" w:bidi="ar"/>
        </w:rPr>
        <w:t>2.进一步加强政府信息公开信息员队伍建设，做到专人专事专责，提升信息员综合素质，提高信息质量，丰富公开内容。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pacing w:val="0"/>
          <w:kern w:val="0"/>
          <w:sz w:val="32"/>
          <w:szCs w:val="32"/>
          <w:shd w:val="clear" w:fill="FFFFFF"/>
          <w:lang w:val="en-US" w:eastAsia="zh-CN" w:bidi="ar"/>
        </w:rPr>
      </w:pPr>
      <w:r>
        <w:rPr>
          <w:rFonts w:hint="eastAsia" w:ascii="仿宋_GB2312" w:hAnsi="仿宋_GB2312" w:eastAsia="仿宋_GB2312" w:cs="仿宋_GB2312"/>
          <w:spacing w:val="0"/>
          <w:kern w:val="0"/>
          <w:sz w:val="32"/>
          <w:szCs w:val="32"/>
          <w:shd w:val="clear" w:fill="FFFFFF"/>
          <w:lang w:val="en-US" w:eastAsia="zh-CN" w:bidi="ar"/>
        </w:rPr>
        <w:t>3.进一步健全和完善政务公开制度。一是理顺工作机制，调整政务公开领导小组，做好牵头和协调。二是对涉及人民群众关心的重大问题，重大决策应及时公开。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黑体" w:hAnsi="黑体" w:eastAsia="黑体" w:cs="黑体"/>
          <w:b/>
          <w:bCs/>
          <w:color w:val="333333"/>
          <w:sz w:val="32"/>
          <w:szCs w:val="32"/>
        </w:rPr>
      </w:pPr>
      <w:r>
        <w:rPr>
          <w:rFonts w:hint="eastAsia" w:ascii="黑体" w:hAnsi="黑体" w:eastAsia="黑体" w:cs="黑体"/>
          <w:b/>
          <w:bCs/>
          <w:color w:val="333333"/>
          <w:sz w:val="32"/>
          <w:szCs w:val="32"/>
          <w:lang w:val="en-US" w:eastAsia="zh-CN"/>
        </w:rPr>
        <w:t>六、</w:t>
      </w:r>
      <w:r>
        <w:rPr>
          <w:rFonts w:hint="eastAsia" w:ascii="黑体" w:hAnsi="黑体" w:eastAsia="黑体" w:cs="黑体"/>
          <w:b/>
          <w:bCs/>
          <w:color w:val="333333"/>
          <w:sz w:val="32"/>
          <w:szCs w:val="32"/>
        </w:rPr>
        <w:t>其他需要报告的事项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pacing w:val="0"/>
          <w:kern w:val="0"/>
          <w:sz w:val="32"/>
          <w:szCs w:val="32"/>
          <w:shd w:val="clear" w:fill="FFFFFF"/>
          <w:lang w:val="en-US" w:eastAsia="zh-CN" w:bidi="ar"/>
        </w:rPr>
      </w:pPr>
      <w:r>
        <w:rPr>
          <w:rFonts w:hint="eastAsia" w:ascii="仿宋_GB2312" w:hAnsi="仿宋_GB2312" w:eastAsia="仿宋_GB2312" w:cs="仿宋_GB2312"/>
          <w:spacing w:val="0"/>
          <w:kern w:val="0"/>
          <w:sz w:val="32"/>
          <w:szCs w:val="32"/>
          <w:shd w:val="clear" w:fill="FFFFFF"/>
          <w:lang w:val="en-US" w:eastAsia="zh-CN" w:bidi="ar"/>
        </w:rPr>
        <w:t>无。</w:t>
      </w:r>
    </w:p>
    <w:sectPr>
      <w:pgSz w:w="11906" w:h="16838"/>
      <w:pgMar w:top="2098" w:right="1474"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4833394-EACC-4972-A93C-3FFFB23D978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088CABD0-7E13-4057-8B67-0EA055299500}"/>
  </w:font>
  <w:font w:name="方正小标宋简体">
    <w:panose1 w:val="02000000000000000000"/>
    <w:charset w:val="86"/>
    <w:family w:val="auto"/>
    <w:pitch w:val="default"/>
    <w:sig w:usb0="00000001" w:usb1="08000000" w:usb2="00000000" w:usb3="00000000" w:csb0="00040000" w:csb1="00000000"/>
    <w:embedRegular r:id="rId3" w:fontKey="{CF05BE19-8313-464D-9F62-88F0F4CD683D}"/>
  </w:font>
  <w:font w:name="方正仿宋_GB2312">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embedRegular r:id="rId4" w:fontKey="{71DFFA52-D0EF-4082-965E-0B513C7A9689}"/>
  </w:font>
  <w:font w:name="华文彩云">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5" w:fontKey="{E227E9AA-AFAD-4D71-8E8B-E35C44EB769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kYTgyNDUyODQyZTczZDJmYjMyZDZmN2ZmMTJlNDcifQ=="/>
  </w:docVars>
  <w:rsids>
    <w:rsidRoot w:val="76B311DA"/>
    <w:rsid w:val="06265752"/>
    <w:rsid w:val="0B1F7084"/>
    <w:rsid w:val="2D6F1E6D"/>
    <w:rsid w:val="2E996636"/>
    <w:rsid w:val="2FF8738B"/>
    <w:rsid w:val="331429F5"/>
    <w:rsid w:val="4539537A"/>
    <w:rsid w:val="4A11092F"/>
    <w:rsid w:val="64C438D4"/>
    <w:rsid w:val="6C7F08A6"/>
    <w:rsid w:val="7220332D"/>
    <w:rsid w:val="76B31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autoRedefine/>
    <w:qFormat/>
    <w:uiPriority w:val="0"/>
    <w:rPr>
      <w:color w:val="000000"/>
      <w:u w:val="none"/>
    </w:rPr>
  </w:style>
  <w:style w:type="character" w:styleId="6">
    <w:name w:val="Hyperlink"/>
    <w:basedOn w:val="4"/>
    <w:autoRedefine/>
    <w:qFormat/>
    <w:uiPriority w:val="0"/>
    <w:rPr>
      <w:color w:val="000000"/>
      <w:u w:val="none"/>
    </w:rPr>
  </w:style>
  <w:style w:type="character" w:styleId="7">
    <w:name w:val="HTML Code"/>
    <w:basedOn w:val="4"/>
    <w:autoRedefine/>
    <w:qFormat/>
    <w:uiPriority w:val="0"/>
    <w:rPr>
      <w:rFonts w:ascii="Courier New" w:hAnsi="Courier New"/>
      <w:sz w:val="20"/>
    </w:rPr>
  </w:style>
  <w:style w:type="character" w:customStyle="1" w:styleId="8">
    <w:name w:val="more"/>
    <w:basedOn w:val="4"/>
    <w:autoRedefine/>
    <w:qFormat/>
    <w:uiPriority w:val="0"/>
    <w:rPr>
      <w:color w:val="666666"/>
      <w:sz w:val="18"/>
      <w:szCs w:val="18"/>
    </w:rPr>
  </w:style>
  <w:style w:type="character" w:customStyle="1" w:styleId="9">
    <w:name w:val="font2"/>
    <w:basedOn w:val="4"/>
    <w:autoRedefine/>
    <w:qFormat/>
    <w:uiPriority w:val="0"/>
  </w:style>
  <w:style w:type="character" w:customStyle="1" w:styleId="10">
    <w:name w:val="m01"/>
    <w:basedOn w:val="4"/>
    <w:autoRedefine/>
    <w:qFormat/>
    <w:uiPriority w:val="0"/>
  </w:style>
  <w:style w:type="character" w:customStyle="1" w:styleId="11">
    <w:name w:val="m011"/>
    <w:basedOn w:val="4"/>
    <w:autoRedefine/>
    <w:qFormat/>
    <w:uiPriority w:val="0"/>
  </w:style>
  <w:style w:type="character" w:customStyle="1" w:styleId="12">
    <w:name w:val="laypage_curr"/>
    <w:basedOn w:val="4"/>
    <w:autoRedefine/>
    <w:qFormat/>
    <w:uiPriority w:val="0"/>
    <w:rPr>
      <w:color w:val="FFFDF4"/>
      <w:shd w:val="clear" w:fill="0B67A6"/>
    </w:rPr>
  </w:style>
  <w:style w:type="character" w:customStyle="1" w:styleId="13">
    <w:name w:val="name"/>
    <w:basedOn w:val="4"/>
    <w:autoRedefine/>
    <w:qFormat/>
    <w:uiPriority w:val="0"/>
    <w:rPr>
      <w:color w:val="6A6A6A"/>
      <w:u w:val="single"/>
    </w:rPr>
  </w:style>
  <w:style w:type="character" w:customStyle="1" w:styleId="14">
    <w:name w:val="dates"/>
    <w:basedOn w:val="4"/>
    <w:autoRedefine/>
    <w:qFormat/>
    <w:uiPriority w:val="0"/>
  </w:style>
  <w:style w:type="character" w:customStyle="1" w:styleId="15">
    <w:name w:val="bg01"/>
    <w:basedOn w:val="4"/>
    <w:autoRedefine/>
    <w:qFormat/>
    <w:uiPriority w:val="0"/>
  </w:style>
  <w:style w:type="character" w:customStyle="1" w:styleId="16">
    <w:name w:val="tabg"/>
    <w:basedOn w:val="4"/>
    <w:autoRedefine/>
    <w:qFormat/>
    <w:uiPriority w:val="0"/>
    <w:rPr>
      <w:color w:val="FFFFFF"/>
      <w:sz w:val="27"/>
      <w:szCs w:val="27"/>
    </w:rPr>
  </w:style>
  <w:style w:type="character" w:customStyle="1" w:styleId="17">
    <w:name w:val="bg02"/>
    <w:basedOn w:val="4"/>
    <w:autoRedefine/>
    <w:qFormat/>
    <w:uiPriority w:val="0"/>
  </w:style>
  <w:style w:type="character" w:customStyle="1" w:styleId="18">
    <w:name w:val="hover18"/>
    <w:basedOn w:val="4"/>
    <w:uiPriority w:val="0"/>
    <w:rPr>
      <w:color w:val="015293"/>
    </w:rPr>
  </w:style>
  <w:style w:type="character" w:customStyle="1" w:styleId="19">
    <w:name w:val="bsharetext"/>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1680</Words>
  <Characters>1705</Characters>
  <Lines>0</Lines>
  <Paragraphs>0</Paragraphs>
  <TotalTime>8</TotalTime>
  <ScaleCrop>false</ScaleCrop>
  <LinksUpToDate>false</LinksUpToDate>
  <CharactersWithSpaces>1921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2022-01-27T02:34:00Z</dcterms:created>
  <dc:creator>米拉⁵₁⁷₃</dc:creator>
  <cp:lastModifiedBy>Administrator</cp:lastModifiedBy>
  <dcterms:modified xsi:type="dcterms:W3CDTF">2024-01-26T07:13:43Z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DB562FF87E4F4583B62E926DBAF0CE1A</vt:lpwstr>
  </property>
</Properties>
</file>