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龙河镇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政府信息公开工作年度报告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我镇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认真对政府产生的信息进行收集，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认真开展政府信息公开工作，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按照“公开是原则，不公开是例外”的要求，及时发布日常工作动态和工作文件，改进工作作风，方便群众办事和监督。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不断强化政府信息公开的规范化、</w:t>
      </w:r>
      <w:r>
        <w:rPr>
          <w:rFonts w:hint="eastAsia" w:ascii="仿宋_GB2312" w:hAnsi="仿宋_GB2312" w:eastAsia="仿宋_GB2312" w:cs="仿宋_GB2312"/>
          <w:sz w:val="30"/>
          <w:szCs w:val="30"/>
        </w:rPr>
        <w:t>制度化管理，努力形成常态化运行的长效机制。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成立了以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镇长</w:t>
      </w:r>
      <w:r>
        <w:rPr>
          <w:rFonts w:hint="eastAsia" w:ascii="仿宋_GB2312" w:hAnsi="仿宋_GB2312" w:eastAsia="仿宋_GB2312" w:cs="仿宋_GB2312"/>
          <w:sz w:val="30"/>
          <w:szCs w:val="30"/>
        </w:rPr>
        <w:t>为组长，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</w:rPr>
        <w:t>分管领导为副组长，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各办公室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负责人为成员的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政府信息公开工作领导小组，负责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0"/>
          <w:szCs w:val="30"/>
        </w:rPr>
        <w:t>党务政务公开工作的组织领导、统筹协调和监督检查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强化信息公开工作的重要性的认识，明确信息公开工作的任务和职责，狠抓各项工作措施的落实，确保信息公开工作的稳步推进。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严格按要求认真开展本单位的信息发布工作。20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定安县人民政府网站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主动公开政府信息数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若干件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其中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，其中人事信息公开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1件9人，常规性工作信息1件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8"/>
          <w:sz w:val="30"/>
          <w:szCs w:val="30"/>
          <w:shd w:val="clear" w:fill="FFFFFF"/>
        </w:rPr>
        <w:t>推进公开工作存在的问题与不足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/>
          <w:caps w:val="0"/>
          <w:color w:val="333333"/>
          <w:spacing w:val="8"/>
          <w:sz w:val="30"/>
          <w:szCs w:val="30"/>
          <w:shd w:val="clear" w:fill="FFFFFF"/>
          <w:vertAlign w:val="baseline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的政府信息公开工作还需要加大宣传力度。</w:t>
      </w:r>
      <w:r>
        <w:rPr>
          <w:rFonts w:hint="eastAsia" w:ascii="仿宋_GB2312" w:hAnsi="仿宋_GB2312" w:eastAsia="仿宋_GB2312" w:cs="仿宋_GB2312"/>
          <w:b/>
          <w:caps w:val="0"/>
          <w:color w:val="333333"/>
          <w:spacing w:val="8"/>
          <w:sz w:val="30"/>
          <w:szCs w:val="30"/>
          <w:shd w:val="clear" w:fill="FFFFFF"/>
          <w:vertAlign w:val="baseline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作为政府信息来源的各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对提供政府公开信息的执行力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及时效性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还有待加强，部分需主动公开的政府信息在产生后未得到及时发布。</w:t>
      </w:r>
      <w:r>
        <w:rPr>
          <w:rFonts w:hint="eastAsia" w:ascii="仿宋_GB2312" w:hAnsi="仿宋_GB2312" w:eastAsia="仿宋_GB2312" w:cs="仿宋_GB2312"/>
          <w:b/>
          <w:caps w:val="0"/>
          <w:color w:val="333333"/>
          <w:spacing w:val="8"/>
          <w:sz w:val="30"/>
          <w:szCs w:val="30"/>
          <w:shd w:val="clear" w:fill="FFFFFF"/>
          <w:vertAlign w:val="baseline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负责信息公开的专职人员人数不够。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一是提升政府信息公开工作知晓度，进一步明确政府信息公开工作重要性。二是强化信息共享。完善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镇政府各办公室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的信息共享机制，及时了解、掌握改革精神和最新政策文件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，确保各类信息发布及时性及有效性。三是增派人手，进一步增强信息工作的力量。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六、其他需要报告的事项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28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B57F7"/>
    <w:multiLevelType w:val="singleLevel"/>
    <w:tmpl w:val="6E8B57F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0C"/>
    <w:rsid w:val="00023E90"/>
    <w:rsid w:val="00866C0C"/>
    <w:rsid w:val="00CF4255"/>
    <w:rsid w:val="03C278AC"/>
    <w:rsid w:val="07B257E9"/>
    <w:rsid w:val="12993347"/>
    <w:rsid w:val="24341F46"/>
    <w:rsid w:val="286116A3"/>
    <w:rsid w:val="30956588"/>
    <w:rsid w:val="383131C0"/>
    <w:rsid w:val="45774C26"/>
    <w:rsid w:val="458F359A"/>
    <w:rsid w:val="48E06D3C"/>
    <w:rsid w:val="4C7A658F"/>
    <w:rsid w:val="543531DE"/>
    <w:rsid w:val="61132695"/>
    <w:rsid w:val="61C35A71"/>
    <w:rsid w:val="78F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2020-01-03T01:15:00Z</dcterms:created>
  <dc:creator>文 锦华</dc:creator>
  <cp:lastModifiedBy>触动</cp:lastModifiedBy>
  <dcterms:modified xsi:type="dcterms:W3CDTF">2021-12-10T09:32:43Z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071BA500C70A477DB05721F8EAE8D5B7</vt:lpwstr>
  </property>
</Properties>
</file>