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定安县龙湖镇人民政府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衔接</w:t>
      </w:r>
      <w:r>
        <w:rPr>
          <w:rFonts w:hint="eastAsia" w:ascii="方正小标宋简体" w:eastAsia="方正小标宋简体"/>
          <w:sz w:val="44"/>
          <w:szCs w:val="44"/>
        </w:rPr>
        <w:t>资金项目绩效自评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报告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160" w:firstLineChars="50"/>
        <w:jc w:val="left"/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评价类型：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衔接资金项目绩效自评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项目名称：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2023年龙湖镇产业发展奖励项目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</w:t>
      </w:r>
    </w:p>
    <w:p>
      <w:pPr>
        <w:ind w:left="1600" w:leftChars="76" w:hanging="1440" w:hangingChars="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项目单位：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定安县龙湖镇人民政府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ind w:left="1600" w:hanging="1600" w:hanging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left="1600" w:leftChars="76" w:hanging="1440" w:hangingChars="45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主管部门：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定安县乡村振兴局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ind w:left="1600" w:leftChars="76" w:hanging="1440" w:hangingChars="450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ind w:left="1600" w:leftChars="76" w:hanging="1440" w:hangingChars="450"/>
        <w:rPr>
          <w:rFonts w:hint="default" w:ascii="仿宋_GB2312" w:hAnsi="仿宋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评价年度：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2023年度                               </w:t>
      </w:r>
    </w:p>
    <w:p>
      <w:pPr>
        <w:ind w:left="1600" w:hanging="1600" w:hanging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left="1600" w:leftChars="76" w:hanging="1440" w:hangingChars="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评价时间：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2023年11月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</w:p>
    <w:p>
      <w:pPr>
        <w:ind w:left="1600" w:hanging="1600" w:hanging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left="1600" w:leftChars="76" w:hanging="1440" w:hangingChars="45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组织方式：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项目实施过程评价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ind w:left="1600" w:hanging="1600" w:hanging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left="1600" w:leftChars="76" w:hanging="1440" w:hangingChars="45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评价机构：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龙湖镇人民政府                       </w:t>
      </w:r>
    </w:p>
    <w:p>
      <w:pPr>
        <w:ind w:left="1600" w:hanging="1600" w:hangingChars="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62" w:h="16480"/>
          <w:pgMar w:top="1418" w:right="1304" w:bottom="1588" w:left="141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286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>
      <w:pPr>
        <w:pStyle w:val="12"/>
        <w:jc w:val="center"/>
        <w:rPr>
          <w:rStyle w:val="11"/>
          <w:rFonts w:hint="eastAsia" w:ascii="仿宋_GB2312" w:eastAsia="仿宋_GB2312"/>
          <w:b w:val="0"/>
          <w:szCs w:val="32"/>
        </w:rPr>
      </w:pPr>
      <w:bookmarkStart w:id="0" w:name="_Toc16860"/>
      <w:r>
        <w:rPr>
          <w:rStyle w:val="11"/>
          <w:rFonts w:hint="eastAsia" w:ascii="仿宋_GB2312" w:eastAsia="仿宋_GB2312"/>
          <w:b w:val="0"/>
          <w:szCs w:val="32"/>
        </w:rPr>
        <w:t>项目基本信息</w:t>
      </w:r>
      <w:bookmarkEnd w:id="0"/>
    </w:p>
    <w:p>
      <w:pPr>
        <w:spacing w:line="44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tbl>
      <w:tblPr>
        <w:tblStyle w:val="8"/>
        <w:tblW w:w="9818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80"/>
        <w:gridCol w:w="1351"/>
        <w:gridCol w:w="2176"/>
        <w:gridCol w:w="105"/>
        <w:gridCol w:w="537"/>
        <w:gridCol w:w="447"/>
        <w:gridCol w:w="337"/>
        <w:gridCol w:w="1789"/>
        <w:gridCol w:w="279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1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项目实施单位</w:t>
            </w: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龙湖镇人民政府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主管部门</w:t>
            </w: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spacing w:line="440" w:lineRule="exact"/>
              <w:ind w:right="-2213" w:rightChars="-1054" w:firstLine="640" w:firstLineChars="20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定安县乡村振兴局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5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项目负责人</w:t>
            </w:r>
          </w:p>
        </w:tc>
        <w:tc>
          <w:tcPr>
            <w:tcW w:w="3527" w:type="dxa"/>
            <w:gridSpan w:val="2"/>
            <w:noWrap w:val="0"/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叶驰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3722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13687548325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34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地址</w:t>
            </w:r>
          </w:p>
        </w:tc>
        <w:tc>
          <w:tcPr>
            <w:tcW w:w="461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定安县龙湖镇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571200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5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项目类型</w:t>
            </w:r>
          </w:p>
        </w:tc>
        <w:tc>
          <w:tcPr>
            <w:tcW w:w="416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一次性项目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sym w:font="Wingdings" w:char="00FE"/>
            </w:r>
          </w:p>
        </w:tc>
        <w:tc>
          <w:tcPr>
            <w:tcW w:w="416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长期项目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4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计划投资额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（万元）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69.1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实际到位资金（万元）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69.1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实际使用情况（万元）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69.1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7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其中：中央财政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9.853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其中：中央财政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9.853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其中：中央财政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ind w:left="589" w:hanging="588" w:hangingChars="184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9.853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0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highlight w:val="none"/>
              </w:rPr>
              <w:t>省财政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4.647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省财政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4.647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省财政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4.647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7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市县财政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54.6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市县财政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54.6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市县财政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54.6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6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银行贷款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银行贷款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银行贷款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6" w:hRule="atLeast"/>
        </w:trPr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其他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pStyle w:val="4"/>
        <w:spacing w:before="120" w:beforeLines="50" w:after="120" w:afterLines="50" w:line="52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仿宋_GB2312" w:eastAsia="仿宋_GB2312"/>
          <w:sz w:val="32"/>
          <w:szCs w:val="32"/>
        </w:rPr>
        <w:sectPr>
          <w:footerReference r:id="rId10" w:type="first"/>
          <w:footerReference r:id="rId9" w:type="default"/>
          <w:pgSz w:w="11962" w:h="16480"/>
          <w:pgMar w:top="1418" w:right="1304" w:bottom="1588" w:left="141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titlePg/>
          <w:docGrid w:linePitch="286" w:charSpace="0"/>
        </w:sect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348" w:type="dxa"/>
            <w:noWrap w:val="0"/>
            <w:vAlign w:val="top"/>
          </w:tcPr>
          <w:p>
            <w:pPr>
              <w:pStyle w:val="12"/>
              <w:rPr>
                <w:rFonts w:hint="eastAsia" w:ascii="仿宋_GB2312" w:eastAsia="仿宋_GB2312"/>
                <w:szCs w:val="32"/>
                <w:lang w:eastAsia="zh-CN"/>
              </w:rPr>
            </w:pPr>
            <w:bookmarkStart w:id="1" w:name="_Toc24152"/>
            <w:r>
              <w:rPr>
                <w:rFonts w:hint="eastAsia" w:ascii="仿宋_GB2312" w:eastAsia="仿宋_GB2312"/>
                <w:szCs w:val="32"/>
              </w:rPr>
              <w:t>本次绩效评价结果</w:t>
            </w:r>
            <w:bookmarkEnd w:id="1"/>
            <w:r>
              <w:rPr>
                <w:rFonts w:hint="eastAsia" w:ascii="仿宋_GB2312" w:eastAsia="仿宋_GB2312"/>
                <w:szCs w:val="32"/>
                <w:lang w:eastAsia="zh-CN"/>
              </w:rPr>
              <w:t>：</w:t>
            </w:r>
          </w:p>
          <w:tbl>
            <w:tblPr>
              <w:tblStyle w:val="8"/>
              <w:tblpPr w:leftFromText="180" w:rightFromText="180" w:vertAnchor="text" w:horzAnchor="page" w:tblpX="144" w:tblpY="747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11"/>
              <w:gridCol w:w="2104"/>
              <w:gridCol w:w="2259"/>
              <w:gridCol w:w="22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4" w:hRule="atLeast"/>
              </w:trPr>
              <w:tc>
                <w:tcPr>
                  <w:tcW w:w="2411" w:type="dxa"/>
                  <w:noWrap w:val="0"/>
                  <w:vAlign w:val="center"/>
                </w:tcPr>
                <w:p>
                  <w:pPr>
                    <w:ind w:firstLine="630" w:firstLineChars="196"/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  <w:t>评价指标</w:t>
                  </w:r>
                </w:p>
              </w:tc>
              <w:tc>
                <w:tcPr>
                  <w:tcW w:w="21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  <w:t>分值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  <w:t>实际得分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sz w:val="32"/>
                      <w:szCs w:val="32"/>
                    </w:rPr>
                    <w:t>绩效等级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4" w:hRule="atLeast"/>
              </w:trPr>
              <w:tc>
                <w:tcPr>
                  <w:tcW w:w="2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  <w:t>全年执行指标</w:t>
                  </w:r>
                </w:p>
              </w:tc>
              <w:tc>
                <w:tcPr>
                  <w:tcW w:w="21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10分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仿宋_GB2312" w:eastAsia="仿宋_GB2312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10分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4" w:hRule="atLeast"/>
              </w:trPr>
              <w:tc>
                <w:tcPr>
                  <w:tcW w:w="2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  <w:t>产出指标</w:t>
                  </w:r>
                </w:p>
              </w:tc>
              <w:tc>
                <w:tcPr>
                  <w:tcW w:w="21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0分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48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2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  <w:t>效益指标</w:t>
                  </w:r>
                </w:p>
              </w:tc>
              <w:tc>
                <w:tcPr>
                  <w:tcW w:w="21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0分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color w:val="0000FF"/>
                      <w:sz w:val="32"/>
                      <w:szCs w:val="32"/>
                      <w:lang w:val="en-US" w:eastAsia="zh-CN"/>
                    </w:rPr>
                    <w:t>29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4" w:hRule="atLeast"/>
              </w:trPr>
              <w:tc>
                <w:tcPr>
                  <w:tcW w:w="2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  <w:t>满意度指标</w:t>
                  </w:r>
                </w:p>
              </w:tc>
              <w:tc>
                <w:tcPr>
                  <w:tcW w:w="21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0分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4" w:hRule="atLeast"/>
              </w:trPr>
              <w:tc>
                <w:tcPr>
                  <w:tcW w:w="241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总分</w:t>
                  </w:r>
                </w:p>
              </w:tc>
              <w:tc>
                <w:tcPr>
                  <w:tcW w:w="210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100分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  <w:szCs w:val="32"/>
                      <w:lang w:val="en-US" w:eastAsia="zh-CN"/>
                    </w:rPr>
                    <w:t>97</w:t>
                  </w:r>
                  <w:r>
                    <w:rPr>
                      <w:rFonts w:hint="eastAsia" w:ascii="仿宋_GB2312" w:eastAsia="仿宋_GB2312"/>
                      <w:sz w:val="32"/>
                      <w:szCs w:val="32"/>
                    </w:rPr>
                    <w:t>分</w:t>
                  </w:r>
                </w:p>
              </w:tc>
              <w:tc>
                <w:tcPr>
                  <w:tcW w:w="22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  <w:lang w:eastAsia="zh-CN"/>
                    </w:rPr>
                    <w:t>优</w:t>
                  </w:r>
                </w:p>
              </w:tc>
            </w:tr>
          </w:tbl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</w:t>
            </w:r>
          </w:p>
          <w:p>
            <w:pPr>
              <w:ind w:firstLine="42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注：绩效等级</w:t>
            </w:r>
          </w:p>
          <w:p>
            <w:pPr>
              <w:ind w:firstLine="42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优  ≥90分；                     良  ≥80分，&lt;90分；</w:t>
            </w: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中  ≥60分，&lt;80分；             差  &lt;60；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10" w:type="dxa"/>
                  <w:noWrap w:val="0"/>
                  <w:vAlign w:val="top"/>
                </w:tcPr>
                <w:p>
                  <w:pPr>
                    <w:spacing w:line="520" w:lineRule="exact"/>
                    <w:jc w:val="center"/>
                    <w:rPr>
                      <w:rFonts w:hint="eastAsia" w:ascii="仿宋_GB2312" w:eastAsia="仿宋_GB2312"/>
                      <w:b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/>
                      <w:sz w:val="32"/>
                      <w:szCs w:val="32"/>
                    </w:rPr>
                    <w:t>评价小组与被评价项目不存在利益冲突</w:t>
                  </w:r>
                </w:p>
              </w:tc>
            </w:tr>
          </w:tbl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评价小组</w:t>
            </w:r>
          </w:p>
          <w:p>
            <w:pPr>
              <w:spacing w:line="520" w:lineRule="exact"/>
              <w:ind w:firstLine="1280" w:firstLineChars="4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组长：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孙仁炳</w:t>
            </w:r>
          </w:p>
          <w:p>
            <w:pPr>
              <w:spacing w:line="520" w:lineRule="exact"/>
              <w:ind w:firstLine="1280" w:firstLineChars="4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成员：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何于玲、林逻兵</w:t>
            </w:r>
          </w:p>
          <w:p>
            <w:pPr>
              <w:spacing w:line="520" w:lineRule="exact"/>
              <w:ind w:firstLine="1280" w:firstLineChars="4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1280" w:firstLineChars="4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ind w:firstLine="1280" w:firstLineChars="40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评价工作组组长（签字）：</w:t>
            </w:r>
          </w:p>
        </w:tc>
      </w:tr>
    </w:tbl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龙湖镇人民政府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衔接</w:t>
      </w:r>
      <w:r>
        <w:rPr>
          <w:rFonts w:hint="eastAsia" w:ascii="方正小标宋简体" w:eastAsia="方正小标宋简体"/>
          <w:sz w:val="44"/>
          <w:szCs w:val="44"/>
        </w:rPr>
        <w:t>资金项目绩效自评工作报告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基本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情况</w:t>
      </w:r>
    </w:p>
    <w:p>
      <w:pPr>
        <w:numPr>
          <w:ilvl w:val="0"/>
          <w:numId w:val="3"/>
        </w:numPr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项目单位基本情况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2023年龙湖镇产业发展奖励项目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用于发展龙湖镇发展产业项目,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通过激励相对稳定脱贫户和监测户发展自主产业，增加收入，巩固脱贫成果。</w:t>
      </w:r>
    </w:p>
    <w:p>
      <w:pPr>
        <w:numPr>
          <w:ilvl w:val="0"/>
          <w:numId w:val="3"/>
        </w:numPr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项目资金预算和绩效目标情况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/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2023年龙湖镇产业发展奖励项目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预算资金69.1万，其中定财农函[2023]37号下达县级资金54.6万元,定财农函[2023]687号下达中央资金9.853万元、省级资金4.647万元。截止至2023年11月20日，支出69.1万元，支出进度为100%。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绩效目标情况：已完成帮扶防返贫监测对象产业发展，发放产业奖励金。</w:t>
      </w:r>
    </w:p>
    <w:p>
      <w:pPr>
        <w:numPr>
          <w:ilvl w:val="0"/>
          <w:numId w:val="2"/>
        </w:num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绩效自评工作开展情况</w:t>
      </w:r>
    </w:p>
    <w:p>
      <w:pPr>
        <w:numPr>
          <w:ilvl w:val="0"/>
          <w:numId w:val="4"/>
        </w:numPr>
        <w:ind w:firstLine="640" w:firstLineChars="200"/>
        <w:outlineLvl w:val="0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val="en-US" w:eastAsia="zh-CN"/>
        </w:rPr>
        <w:t>前期准备/绩效评价方法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739" w:firstLineChars="231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根据评价工作的要求，我镇成立了评价工作组，深入实地收集、核实相关信息，按要求逐项开展项目实施情况绩效评价。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组织过程</w:t>
      </w:r>
      <w:r>
        <w:rPr>
          <w:rFonts w:hint="eastAsia" w:ascii="仿宋_GB2312"/>
          <w:color w:val="auto"/>
          <w:sz w:val="32"/>
          <w:szCs w:val="32"/>
          <w:lang w:val="en-US" w:eastAsia="zh-CN"/>
        </w:rPr>
        <w:t>/绩效评价实施过程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根据《海南省财政厅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海南省扶贫工作办公室 海南省发展和改革委员会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印发组好扶贫项目资金绩效管理工作通知的请示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》（琼财绩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]995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我镇负责该扶贫资金项目的分管领导进行现场调研，了解项目建设情况，安排项目组成员汇总项目建设有关数据，对该项目建设情况对标总结，进行分析评价。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_GB2312"/>
          <w:color w:val="auto"/>
          <w:sz w:val="32"/>
          <w:szCs w:val="32"/>
          <w:lang w:eastAsia="zh-CN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分析评价。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衔接资金《绩效目标申报表》、《绩效目标执行监控表》、《绩效目标自评表》，建立相关资金台账，以及项目完成情况的有关材料，对该项目的资金使用、项目建设进行分析，对该项目的产出指标、效益指标和满意度指标进行自评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综合评价结论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firstLine="739" w:firstLineChars="231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2023年龙湖镇产业发展奖励项目投入扶贫专项资金69.1万元，完成年度计划目标，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我单位绩效自评领导小组对该项目的评价为优。</w:t>
      </w:r>
    </w:p>
    <w:p>
      <w:pPr>
        <w:numPr>
          <w:ilvl w:val="0"/>
          <w:numId w:val="2"/>
        </w:numPr>
        <w:spacing w:line="580" w:lineRule="exact"/>
        <w:ind w:left="0" w:leftChars="0" w:firstLine="640" w:firstLineChars="2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绩效目标实现情况分析</w:t>
      </w:r>
    </w:p>
    <w:p>
      <w:pPr>
        <w:numPr>
          <w:ilvl w:val="0"/>
          <w:numId w:val="5"/>
        </w:numPr>
        <w:spacing w:line="520" w:lineRule="exact"/>
        <w:ind w:left="642" w:leftChars="0" w:firstLine="0" w:firstLineChars="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项目资金情况分析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该产业发展项目预算资金69.1万元，资金已到位。其中其中定财农函[2023]37号下达县级资金54.6万元,定财农函[2023]687号下达中央资金9.853万元、省级资金4.647万元,截止至2023年11月20日，支出69.1万元，支出进度为100%。</w:t>
      </w:r>
    </w:p>
    <w:p>
      <w:pPr>
        <w:numPr>
          <w:ilvl w:val="0"/>
          <w:numId w:val="5"/>
        </w:numPr>
        <w:spacing w:line="520" w:lineRule="exact"/>
        <w:ind w:left="642" w:leftChars="0" w:firstLine="0" w:firstLineChars="0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  <w:t>项目绩效指标完成情况分析</w:t>
      </w:r>
    </w:p>
    <w:p>
      <w:pPr>
        <w:numPr>
          <w:ilvl w:val="0"/>
          <w:numId w:val="0"/>
        </w:numPr>
        <w:spacing w:line="520" w:lineRule="exact"/>
        <w:ind w:left="642" w:leftChars="0"/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1.资金执行情况</w:t>
      </w:r>
      <w:r>
        <w:rPr>
          <w:rFonts w:hint="eastAsia" w:ascii="仿宋_GB2312" w:eastAsia="仿宋_GB2312"/>
          <w:b/>
          <w:bCs/>
          <w:sz w:val="32"/>
          <w:szCs w:val="32"/>
        </w:rPr>
        <w:t>评价</w:t>
      </w: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(1)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执行指标设置</w:t>
      </w:r>
    </w:p>
    <w:tbl>
      <w:tblPr>
        <w:tblStyle w:val="8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04"/>
        <w:gridCol w:w="3455"/>
        <w:gridCol w:w="699"/>
        <w:gridCol w:w="556"/>
        <w:gridCol w:w="1009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全年执行数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（B）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（B/A）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资金情况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69.1万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69.1万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numPr>
          <w:ilvl w:val="0"/>
          <w:numId w:val="6"/>
        </w:numPr>
        <w:spacing w:line="520" w:lineRule="exact"/>
        <w:ind w:left="802" w:leftChars="0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具体评价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资金支出执行率达到100%，得分10分。</w:t>
      </w:r>
    </w:p>
    <w:p>
      <w:pPr>
        <w:numPr>
          <w:ilvl w:val="0"/>
          <w:numId w:val="0"/>
        </w:numPr>
        <w:spacing w:line="520" w:lineRule="exact"/>
        <w:ind w:left="642" w:leftChars="0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2.产出指标评价</w:t>
      </w: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(1)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执行指标设置</w:t>
      </w:r>
    </w:p>
    <w:tbl>
      <w:tblPr>
        <w:tblStyle w:val="8"/>
        <w:tblW w:w="8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44"/>
        <w:gridCol w:w="2272"/>
        <w:gridCol w:w="1887"/>
        <w:gridCol w:w="961"/>
        <w:gridCol w:w="894"/>
        <w:gridCol w:w="656"/>
        <w:gridCol w:w="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全年实际值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奖励1000元发展产业户数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71户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奖励2000元发展产业户数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≥50户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63户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奖励3000元发展产业户数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95户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质量指标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时效指标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当年完工率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≥100%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  指标</w:t>
            </w: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达到4000元（含）-8000元的补助标准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≥1000元/户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1000元/户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达到8000元（含）-12000元的补助标准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≥2000元/户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2000元/户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81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72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达到12000元（含）以上的补助标准</w:t>
            </w:r>
          </w:p>
        </w:tc>
        <w:tc>
          <w:tcPr>
            <w:tcW w:w="1887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≥3000元/户</w:t>
            </w:r>
          </w:p>
        </w:tc>
        <w:tc>
          <w:tcPr>
            <w:tcW w:w="89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3000元/户</w:t>
            </w:r>
          </w:p>
        </w:tc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b w:val="0"/>
          <w:bCs w:val="0"/>
          <w:sz w:val="32"/>
          <w:lang w:eastAsia="zh-CN"/>
        </w:rPr>
      </w:pP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sz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</w:rPr>
        <w:t>具体评价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产出指标总分50分，自评得分48分。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效益指标评价</w:t>
      </w: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(1)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执行指标设置</w:t>
      </w:r>
    </w:p>
    <w:tbl>
      <w:tblPr>
        <w:tblStyle w:val="8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845"/>
        <w:gridCol w:w="2278"/>
        <w:gridCol w:w="1891"/>
        <w:gridCol w:w="1033"/>
        <w:gridCol w:w="936"/>
        <w:gridCol w:w="547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全年实际值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提升相对稳定脱贫户和防返贫监测对象收入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≥0.1万元/户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0.1万元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受益对象户数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≥230户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229户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27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提升相对稳定脱贫户和防返贫监测对象收入年限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≥1年</w:t>
            </w: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1年</w:t>
            </w:r>
          </w:p>
        </w:tc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7"/>
        </w:numPr>
        <w:spacing w:line="520" w:lineRule="exact"/>
        <w:ind w:left="802" w:leftChars="0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b w:val="0"/>
          <w:bCs w:val="0"/>
          <w:sz w:val="32"/>
        </w:rPr>
        <w:t>具体评价</w:t>
      </w:r>
    </w:p>
    <w:p>
      <w:pPr>
        <w:pStyle w:val="2"/>
        <w:rPr>
          <w:rFonts w:hint="eastAsia"/>
          <w:color w:val="0000FF"/>
        </w:rPr>
      </w:pPr>
      <w:r>
        <w:rPr>
          <w:rFonts w:hint="eastAsia" w:ascii="仿宋_GB2312" w:eastAsia="仿宋_GB2312"/>
          <w:color w:val="0000FF"/>
          <w:spacing w:val="8"/>
          <w:sz w:val="32"/>
          <w:szCs w:val="32"/>
          <w:shd w:val="clear" w:color="auto" w:fill="FFFFFF"/>
          <w:lang w:val="en-US" w:eastAsia="zh-CN"/>
        </w:rPr>
        <w:t>因项目产生收益时间较长，根据评价标准，评价得分为29分。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满意度指标评价</w:t>
      </w: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(1)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执行指标设置</w:t>
      </w:r>
    </w:p>
    <w:tbl>
      <w:tblPr>
        <w:tblStyle w:val="8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55"/>
        <w:gridCol w:w="2303"/>
        <w:gridCol w:w="1912"/>
        <w:gridCol w:w="1045"/>
        <w:gridCol w:w="834"/>
        <w:gridCol w:w="665"/>
        <w:gridCol w:w="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全年实际值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满意度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指标（10分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服务对象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满意度指标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群众满意度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b w:val="0"/>
          <w:bCs w:val="0"/>
          <w:sz w:val="32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(2)</w:t>
      </w:r>
      <w:r>
        <w:rPr>
          <w:rFonts w:hint="eastAsia" w:ascii="仿宋_GB2312" w:eastAsia="仿宋_GB2312"/>
          <w:b w:val="0"/>
          <w:bCs w:val="0"/>
          <w:sz w:val="32"/>
        </w:rPr>
        <w:t>具体评价</w:t>
      </w:r>
    </w:p>
    <w:p>
      <w:pPr>
        <w:ind w:firstLine="672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均已达到年度指标值，因此根据评价标准，评价得分为10分。</w:t>
      </w:r>
    </w:p>
    <w:p>
      <w:p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五、绩效评价的局限性和下一步改进措施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评价指标的设置未能做到完全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合理化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下一步将进行指标优化，做到精准把握产出。</w:t>
      </w:r>
    </w:p>
    <w:p>
      <w:p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六、绩效自评结果拟应用和公开情况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2"/>
          <w:right w:val="none" w:color="000000" w:sz="0" w:space="0"/>
        </w:pBdr>
        <w:shd w:val="clear" w:color="F5F7EE" w:fill="auto"/>
        <w:autoSpaceDN w:val="0"/>
        <w:spacing w:line="578" w:lineRule="exact"/>
        <w:ind w:firstLine="640" w:firstLineChars="200"/>
        <w:rPr>
          <w:color w:val="auto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该项目绩效申报和自评结果在我县政府网公开公示。</w:t>
      </w: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附：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2023年龙湖镇产业发展奖励项目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eastAsia="zh-CN"/>
        </w:rPr>
        <w:t>绩效目标自评表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520" w:lineRule="exact"/>
        <w:ind w:left="802" w:leftChars="0"/>
        <w:rPr>
          <w:rFonts w:hint="eastAsia" w:ascii="仿宋_GB2312" w:eastAsia="仿宋_GB2312"/>
          <w:b w:val="0"/>
          <w:bCs w:val="0"/>
          <w:sz w:val="32"/>
        </w:rPr>
      </w:pPr>
    </w:p>
    <w:p>
      <w:pPr>
        <w:pStyle w:val="2"/>
        <w:ind w:left="4788" w:leftChars="2280" w:firstLine="0" w:firstLineChars="0"/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定安县龙湖镇人民政府</w:t>
      </w:r>
    </w:p>
    <w:p>
      <w:pPr>
        <w:pStyle w:val="2"/>
        <w:ind w:firstLine="5126" w:firstLineChars="1602"/>
        <w:rPr>
          <w:rFonts w:hint="default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2023年11月20</w:t>
      </w:r>
      <w:bookmarkStart w:id="2" w:name="_GoBack"/>
      <w:bookmarkEnd w:id="2"/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hAnsi="宋体" w:eastAsia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45A5F68-9F0A-47AF-9151-CA86CA872BE7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F153E3-DF9C-43F5-B7C9-130617E7F1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3CBE8053-1C9F-4566-AE3B-6F35F9F87B37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7957DFB-0B43-4544-90FE-6A220950AD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4A2AF12-EDC5-4000-ACD4-09194645B9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E3906D4-18F6-442B-A141-12215F6E8488}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  <w:embedRegular r:id="rId7" w:fontKey="{B013A026-9964-42F6-BB1C-73CA14F1A6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ZQ6jy0QAAAAMBAAAPAAAAAAAAAAEAIAAAACIAAABkcnMvZG93&#10;bnJldi54bWxQSwECFAAUAAAACACHTuJA4nvGlc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5F6FA"/>
    <w:multiLevelType w:val="singleLevel"/>
    <w:tmpl w:val="9BA5F6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414421"/>
    <w:multiLevelType w:val="singleLevel"/>
    <w:tmpl w:val="A1414421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1E4B0AA"/>
    <w:multiLevelType w:val="singleLevel"/>
    <w:tmpl w:val="D1E4B0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7925F83"/>
    <w:multiLevelType w:val="singleLevel"/>
    <w:tmpl w:val="F7925F83"/>
    <w:lvl w:ilvl="0" w:tentative="0">
      <w:start w:val="1"/>
      <w:numFmt w:val="chineseCounting"/>
      <w:suff w:val="nothing"/>
      <w:lvlText w:val="（%1）"/>
      <w:lvlJc w:val="left"/>
      <w:pPr>
        <w:ind w:left="642" w:firstLine="0"/>
      </w:pPr>
      <w:rPr>
        <w:rFonts w:hint="eastAsia"/>
      </w:rPr>
    </w:lvl>
  </w:abstractNum>
  <w:abstractNum w:abstractNumId="4">
    <w:nsid w:val="1CFA3A28"/>
    <w:multiLevelType w:val="singleLevel"/>
    <w:tmpl w:val="1CFA3A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F44254B"/>
    <w:multiLevelType w:val="multilevel"/>
    <w:tmpl w:val="1F44254B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4A66389A"/>
    <w:multiLevelType w:val="singleLevel"/>
    <w:tmpl w:val="4A66389A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zQ4MmUxYTY4OTM2ZmM5YzYzYmI1NWM4OWQzNmYifQ=="/>
  </w:docVars>
  <w:rsids>
    <w:rsidRoot w:val="766E7433"/>
    <w:rsid w:val="02555ED9"/>
    <w:rsid w:val="02641C78"/>
    <w:rsid w:val="031A4A2D"/>
    <w:rsid w:val="032D29B2"/>
    <w:rsid w:val="04FD2036"/>
    <w:rsid w:val="06854203"/>
    <w:rsid w:val="07084697"/>
    <w:rsid w:val="0A4F1460"/>
    <w:rsid w:val="0AA52981"/>
    <w:rsid w:val="0ABF0394"/>
    <w:rsid w:val="0BCA4D20"/>
    <w:rsid w:val="0DBC62AD"/>
    <w:rsid w:val="10C364ED"/>
    <w:rsid w:val="15715534"/>
    <w:rsid w:val="16767C85"/>
    <w:rsid w:val="16870FA6"/>
    <w:rsid w:val="180970F2"/>
    <w:rsid w:val="18745F85"/>
    <w:rsid w:val="18E35B95"/>
    <w:rsid w:val="1A56601E"/>
    <w:rsid w:val="1B412BCF"/>
    <w:rsid w:val="1C901B90"/>
    <w:rsid w:val="1E4F6FE3"/>
    <w:rsid w:val="1EA84897"/>
    <w:rsid w:val="1F52137F"/>
    <w:rsid w:val="1F5765D4"/>
    <w:rsid w:val="20645867"/>
    <w:rsid w:val="214269E7"/>
    <w:rsid w:val="214D79BE"/>
    <w:rsid w:val="217B0F40"/>
    <w:rsid w:val="23FC4B00"/>
    <w:rsid w:val="23FF2B25"/>
    <w:rsid w:val="24DD77A4"/>
    <w:rsid w:val="25E66CC5"/>
    <w:rsid w:val="25FD7B6A"/>
    <w:rsid w:val="27E17743"/>
    <w:rsid w:val="28F96D0F"/>
    <w:rsid w:val="29831962"/>
    <w:rsid w:val="29DC6D45"/>
    <w:rsid w:val="29E9354E"/>
    <w:rsid w:val="2A2008A8"/>
    <w:rsid w:val="2E8808B9"/>
    <w:rsid w:val="2EB860B8"/>
    <w:rsid w:val="2F0D7070"/>
    <w:rsid w:val="34973C7F"/>
    <w:rsid w:val="36857E34"/>
    <w:rsid w:val="38FF3ECD"/>
    <w:rsid w:val="39201F20"/>
    <w:rsid w:val="3A2403D4"/>
    <w:rsid w:val="3A9C399E"/>
    <w:rsid w:val="3C246DCD"/>
    <w:rsid w:val="3C306ABD"/>
    <w:rsid w:val="3C734C82"/>
    <w:rsid w:val="3DA93FA0"/>
    <w:rsid w:val="3FC314A7"/>
    <w:rsid w:val="411E335F"/>
    <w:rsid w:val="41A10A42"/>
    <w:rsid w:val="426305CA"/>
    <w:rsid w:val="441B091A"/>
    <w:rsid w:val="452A0524"/>
    <w:rsid w:val="47484C91"/>
    <w:rsid w:val="476C38F3"/>
    <w:rsid w:val="496C04C8"/>
    <w:rsid w:val="49D30EA1"/>
    <w:rsid w:val="49F92273"/>
    <w:rsid w:val="4BF02432"/>
    <w:rsid w:val="4C910B4A"/>
    <w:rsid w:val="4D90538A"/>
    <w:rsid w:val="4ED80FF1"/>
    <w:rsid w:val="4EFD45B3"/>
    <w:rsid w:val="4F697E9B"/>
    <w:rsid w:val="508E221A"/>
    <w:rsid w:val="50DA57DC"/>
    <w:rsid w:val="54A379AB"/>
    <w:rsid w:val="55543DD2"/>
    <w:rsid w:val="55DE503A"/>
    <w:rsid w:val="56963C40"/>
    <w:rsid w:val="57363301"/>
    <w:rsid w:val="575C2093"/>
    <w:rsid w:val="587D6765"/>
    <w:rsid w:val="59D83537"/>
    <w:rsid w:val="5B760FC6"/>
    <w:rsid w:val="5D555ECD"/>
    <w:rsid w:val="5DBD5850"/>
    <w:rsid w:val="5EC35132"/>
    <w:rsid w:val="5EFF1C82"/>
    <w:rsid w:val="60946D57"/>
    <w:rsid w:val="60F77BC1"/>
    <w:rsid w:val="64D34A4A"/>
    <w:rsid w:val="65925B4B"/>
    <w:rsid w:val="68CA68B5"/>
    <w:rsid w:val="690A4BC7"/>
    <w:rsid w:val="697C45F6"/>
    <w:rsid w:val="699A171F"/>
    <w:rsid w:val="6C495BF3"/>
    <w:rsid w:val="6E6C4E5A"/>
    <w:rsid w:val="70461393"/>
    <w:rsid w:val="73B37734"/>
    <w:rsid w:val="74F00593"/>
    <w:rsid w:val="766E7433"/>
    <w:rsid w:val="773926F3"/>
    <w:rsid w:val="77770AF7"/>
    <w:rsid w:val="78A376CA"/>
    <w:rsid w:val="7A844349"/>
    <w:rsid w:val="7C293179"/>
    <w:rsid w:val="7D545437"/>
    <w:rsid w:val="7D7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鐘的正文"/>
    <w:autoRedefine/>
    <w:qFormat/>
    <w:uiPriority w:val="0"/>
    <w:pPr>
      <w:widowControl w:val="0"/>
      <w:spacing w:line="560" w:lineRule="exact"/>
      <w:ind w:firstLine="640"/>
      <w:jc w:val="both"/>
    </w:pPr>
    <w:rPr>
      <w:rFonts w:ascii="FangSong_GB2312" w:hAnsi="FangSong_GB2312" w:eastAsia="FangSong_GB2312" w:cs="Times New Roman"/>
      <w:sz w:val="32"/>
      <w:lang w:val="en-US" w:eastAsia="zh-CN" w:bidi="ar-SA"/>
    </w:rPr>
  </w:style>
  <w:style w:type="paragraph" w:styleId="4">
    <w:name w:val="caption"/>
    <w:basedOn w:val="1"/>
    <w:next w:val="1"/>
    <w:autoRedefine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paragraph" w:customStyle="1" w:styleId="12">
    <w:name w:val="绩效要点"/>
    <w:basedOn w:val="7"/>
    <w:autoRedefine/>
    <w:qFormat/>
    <w:uiPriority w:val="0"/>
    <w:pPr>
      <w:jc w:val="left"/>
    </w:pPr>
    <w:rPr>
      <w:rFonts w:ascii="Arial" w:hAnsi="Arial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2413</Words>
  <Characters>2805</Characters>
  <Lines>0</Lines>
  <Paragraphs>0</Paragraphs>
  <TotalTime>11</TotalTime>
  <ScaleCrop>false</ScaleCrop>
  <LinksUpToDate>false</LinksUpToDate>
  <CharactersWithSpaces>3146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2020-12-31T01:13:00Z</dcterms:created>
  <dc:creator>Administrator</dc:creator>
  <cp:lastModifiedBy>Ivy</cp:lastModifiedBy>
  <cp:lastPrinted>2022-05-20T08:06:00Z</cp:lastPrinted>
  <dcterms:modified xsi:type="dcterms:W3CDTF">2024-01-04T00:44:14Z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4AA3B1086F2E4B968537B8DA4B99468D</vt:lpwstr>
  </property>
</Properties>
</file>