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880" w:firstLineChars="200"/>
        <w:jc w:val="center"/>
        <w:textAlignment w:val="auto"/>
        <w:rPr>
          <w:rFonts w:hint="eastAsia" w:ascii="黑体" w:hAnsi="宋体" w:eastAsia="黑体" w:cs="黑体"/>
          <w:sz w:val="44"/>
          <w:szCs w:val="44"/>
          <w:shd w:val="clear" w:color="auto" w:fill="FFFFFF"/>
        </w:rPr>
      </w:pPr>
      <w:r>
        <w:rPr>
          <w:rFonts w:hint="eastAsia" w:ascii="黑体" w:hAnsi="宋体" w:eastAsia="黑体" w:cs="黑体"/>
          <w:sz w:val="44"/>
          <w:szCs w:val="44"/>
          <w:shd w:val="clear" w:color="auto" w:fill="FFFFFF"/>
        </w:rPr>
        <w:t>定安县机关幼儿园</w:t>
      </w:r>
    </w:p>
    <w:p>
      <w:pPr>
        <w:keepNext/>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left="0" w:leftChars="0" w:right="0" w:firstLine="880" w:firstLineChars="200"/>
        <w:jc w:val="center"/>
        <w:textAlignment w:val="auto"/>
        <w:rPr>
          <w:rFonts w:hint="eastAsia" w:ascii="黑体" w:hAnsi="ˎ̥" w:eastAsia="黑体" w:cs="黑体"/>
          <w:sz w:val="44"/>
          <w:szCs w:val="44"/>
          <w:shd w:val="clear" w:fill="FFFFFF"/>
          <w:lang w:val="en-US"/>
        </w:rPr>
      </w:pPr>
      <w:r>
        <w:rPr>
          <w:rFonts w:hint="eastAsia" w:ascii="黑体" w:hAnsi="ˎ̥" w:eastAsia="黑体" w:cs="黑体"/>
          <w:sz w:val="44"/>
          <w:szCs w:val="44"/>
          <w:shd w:val="clear" w:fill="FFFFFF"/>
          <w:lang w:val="en-US"/>
        </w:rPr>
        <w:t>2022</w:t>
      </w:r>
      <w:r>
        <w:rPr>
          <w:rFonts w:hint="eastAsia" w:ascii="黑体" w:hAnsi="ˎ̥" w:eastAsia="黑体" w:cs="黑体"/>
          <w:sz w:val="44"/>
          <w:szCs w:val="44"/>
          <w:shd w:val="clear" w:fill="FFFFFF"/>
        </w:rPr>
        <w:t>年度部门决算公开报告</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jc w:val="center"/>
        <w:textAlignment w:val="auto"/>
        <w:rPr>
          <w:rFonts w:hint="eastAsia" w:ascii="黑体" w:hAnsi="ˎ̥" w:eastAsia="黑体" w:cs="黑体"/>
          <w:b/>
          <w:sz w:val="32"/>
          <w:szCs w:val="32"/>
          <w:shd w:val="clear" w:color="auto" w:fill="FFFFFF"/>
        </w:rPr>
      </w:pP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880" w:firstLineChars="200"/>
        <w:jc w:val="center"/>
        <w:textAlignment w:val="auto"/>
        <w:rPr>
          <w:rFonts w:ascii="黑体" w:hAnsi="宋体" w:eastAsia="黑体" w:cs="黑体"/>
          <w:sz w:val="44"/>
          <w:szCs w:val="44"/>
          <w:shd w:val="clear" w:color="auto" w:fill="FFFFFF"/>
        </w:rPr>
      </w:pPr>
      <w:bookmarkStart w:id="0" w:name="_Toc11440_WPSOffice_Type2"/>
      <w:r>
        <w:rPr>
          <w:rFonts w:hint="eastAsia" w:ascii="黑体" w:hAnsi="宋体" w:eastAsia="黑体" w:cs="黑体"/>
          <w:sz w:val="44"/>
          <w:szCs w:val="44"/>
          <w:shd w:val="clear" w:color="auto" w:fill="FFFFFF"/>
        </w:rPr>
        <w:t>目录</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sz w:val="32"/>
          <w:szCs w:val="32"/>
          <w:shd w:val="clear" w:color="auto" w:fill="FFFFFF"/>
        </w:rPr>
      </w:pPr>
      <w:r>
        <w:rPr>
          <w:rFonts w:hint="eastAsia" w:ascii="黑体" w:hAnsi="ˎ̥" w:eastAsia="黑体" w:cs="黑体"/>
          <w:sz w:val="32"/>
          <w:szCs w:val="32"/>
          <w:shd w:val="clear" w:color="auto" w:fill="FFFFFF"/>
        </w:rPr>
        <w:t>第一部分 基本情况</w:t>
      </w:r>
      <w:r>
        <w:rPr>
          <w:sz w:val="32"/>
          <w:szCs w:val="32"/>
          <w:shd w:val="clear" w:color="auto" w:fill="FFFFFF"/>
        </w:rPr>
        <w:tab/>
      </w:r>
      <w:r>
        <w:rPr>
          <w:sz w:val="32"/>
          <w:szCs w:val="32"/>
          <w:shd w:val="clear" w:color="auto" w:fill="FFFFFF"/>
        </w:rPr>
        <w:t>3</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ascii="仿宋" w:hAnsi="仿宋" w:eastAsia="仿宋" w:cs="仿宋"/>
          <w:sz w:val="32"/>
          <w:szCs w:val="32"/>
          <w:shd w:val="clear" w:color="auto" w:fill="FFFFFF"/>
        </w:rPr>
        <w:t>一、部门职责</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3</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二、机构设置</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3</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sz w:val="32"/>
          <w:szCs w:val="32"/>
          <w:shd w:val="clear" w:color="auto" w:fill="FFFFFF"/>
        </w:rPr>
      </w:pPr>
      <w:r>
        <w:rPr>
          <w:rFonts w:hint="eastAsia" w:ascii="黑体" w:hAnsi="ˎ̥" w:eastAsia="黑体" w:cs="黑体"/>
          <w:sz w:val="32"/>
          <w:szCs w:val="32"/>
          <w:shd w:val="clear" w:color="auto" w:fill="FFFFFF"/>
        </w:rPr>
        <w:t>第二部分  2022年度部门决算公开表</w:t>
      </w:r>
      <w:r>
        <w:rPr>
          <w:sz w:val="32"/>
          <w:szCs w:val="32"/>
          <w:shd w:val="clear" w:color="auto" w:fill="FFFFFF"/>
        </w:rPr>
        <w:tab/>
      </w:r>
      <w:r>
        <w:rPr>
          <w:sz w:val="32"/>
          <w:szCs w:val="32"/>
          <w:shd w:val="clear" w:color="auto" w:fill="FFFFFF"/>
        </w:rPr>
        <w:t>3</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sz w:val="32"/>
          <w:szCs w:val="32"/>
          <w:shd w:val="clear" w:color="auto" w:fill="FFFFFF"/>
        </w:rPr>
      </w:pPr>
      <w:r>
        <w:rPr>
          <w:rFonts w:hint="eastAsia" w:ascii="黑体" w:hAnsi="宋体" w:eastAsia="黑体" w:cs="黑体"/>
          <w:sz w:val="32"/>
          <w:szCs w:val="32"/>
          <w:shd w:val="clear" w:color="auto" w:fill="FFFFFF"/>
        </w:rPr>
        <w:t>第三部分</w:t>
      </w:r>
      <w:r>
        <w:rPr>
          <w:rFonts w:hint="eastAsia" w:ascii="黑体" w:hAnsi="ˎ̥" w:eastAsia="黑体" w:cs="黑体"/>
          <w:sz w:val="32"/>
          <w:szCs w:val="32"/>
          <w:shd w:val="clear" w:color="auto" w:fill="FFFFFF"/>
        </w:rPr>
        <w:t>2022年度部门决算情况说明</w:t>
      </w:r>
      <w:r>
        <w:rPr>
          <w:sz w:val="32"/>
          <w:szCs w:val="32"/>
          <w:shd w:val="clear" w:color="auto" w:fill="FFFFFF"/>
        </w:rPr>
        <w:tab/>
      </w:r>
      <w:r>
        <w:rPr>
          <w:sz w:val="32"/>
          <w:szCs w:val="32"/>
          <w:shd w:val="clear" w:color="auto" w:fill="FFFFFF"/>
        </w:rPr>
        <w:t>4</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一、收入支出总体情况说明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4</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二、收入决算情况说明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5</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三、支出决算情况说明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5</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四、财政拨款收入支出决算情况说明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5</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五、一般公共预算财政拨款支出决算情况说明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6</w:t>
      </w:r>
    </w:p>
    <w:p>
      <w:pPr>
        <w:pStyle w:val="11"/>
        <w:keepNext/>
        <w:keepLines w:val="0"/>
        <w:pageBreakBefore w:val="0"/>
        <w:widowControl w:val="0"/>
        <w:tabs>
          <w:tab w:val="left" w:pos="7563"/>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六、一般公共预算财政拨款基本支出决算情况说明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7</w:t>
      </w:r>
    </w:p>
    <w:p>
      <w:pPr>
        <w:pStyle w:val="11"/>
        <w:keepNext/>
        <w:keepLines w:val="0"/>
        <w:pageBreakBefore w:val="0"/>
        <w:widowControl w:val="0"/>
        <w:numPr>
          <w:ilvl w:val="0"/>
          <w:numId w:val="0"/>
        </w:numPr>
        <w:tabs>
          <w:tab w:val="left" w:pos="7926"/>
          <w:tab w:val="right" w:leader="dot" w:pos="8306"/>
        </w:tabs>
        <w:kinsoku/>
        <w:wordWrap/>
        <w:overflowPunct/>
        <w:topLinePunct w:val="0"/>
        <w:autoSpaceDE/>
        <w:autoSpaceDN/>
        <w:bidi w:val="0"/>
        <w:adjustRightInd w:val="0"/>
        <w:snapToGrid w:val="0"/>
        <w:spacing w:beforeAutospacing="0" w:afterAutospacing="0" w:line="600" w:lineRule="exact"/>
        <w:ind w:left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lang w:val="en-US" w:eastAsia="zh-CN"/>
        </w:rPr>
        <w:t>1.</w:t>
      </w:r>
      <w:r>
        <w:rPr>
          <w:rFonts w:hint="eastAsia" w:ascii="仿宋" w:hAnsi="仿宋" w:eastAsia="仿宋" w:cs="仿宋"/>
          <w:bCs/>
          <w:sz w:val="32"/>
          <w:szCs w:val="32"/>
          <w:shd w:val="clear" w:color="auto" w:fill="FFFFFF"/>
        </w:rPr>
        <w:t>政府性基金预算财政拨款收入支出决算情况说明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8</w:t>
      </w:r>
    </w:p>
    <w:p>
      <w:pPr>
        <w:pStyle w:val="11"/>
        <w:keepNext/>
        <w:keepLines w:val="0"/>
        <w:pageBreakBefore w:val="0"/>
        <w:widowControl w:val="0"/>
        <w:numPr>
          <w:ilvl w:val="0"/>
          <w:numId w:val="0"/>
        </w:numPr>
        <w:tabs>
          <w:tab w:val="right" w:leader="dot" w:pos="8306"/>
        </w:tabs>
        <w:kinsoku/>
        <w:wordWrap/>
        <w:overflowPunct/>
        <w:topLinePunct w:val="0"/>
        <w:autoSpaceDE/>
        <w:autoSpaceDN/>
        <w:bidi w:val="0"/>
        <w:adjustRightInd w:val="0"/>
        <w:snapToGrid w:val="0"/>
        <w:spacing w:beforeAutospacing="0" w:afterAutospacing="0" w:line="600" w:lineRule="exact"/>
        <w:ind w:left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lang w:val="en-US" w:eastAsia="zh-CN"/>
        </w:rPr>
        <w:t>2.</w:t>
      </w:r>
      <w:r>
        <w:rPr>
          <w:rFonts w:hint="eastAsia" w:ascii="仿宋" w:hAnsi="仿宋" w:eastAsia="仿宋" w:cs="仿宋"/>
          <w:bCs/>
          <w:sz w:val="32"/>
          <w:szCs w:val="32"/>
          <w:shd w:val="clear" w:color="auto" w:fill="FFFFFF"/>
        </w:rPr>
        <w:t>国有资本经营预算财政拨款收入支出决算情况说明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8</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九、财政拨款“三公”经费支出决算情况说明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8</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十、预算绩效情况说明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11</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十一、其他重要事项情况说明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11</w:t>
      </w:r>
    </w:p>
    <w:p>
      <w:pPr>
        <w:pStyle w:val="11"/>
        <w:keepNext/>
        <w:keepLines w:val="0"/>
        <w:pageBreakBefore w:val="0"/>
        <w:widowControl w:val="0"/>
        <w:tabs>
          <w:tab w:val="right" w:leader="dot" w:pos="8306"/>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黑体" w:hAnsi="ˎ̥" w:eastAsia="黑体" w:cs="黑体"/>
          <w:b/>
          <w:sz w:val="32"/>
          <w:szCs w:val="32"/>
          <w:shd w:val="clear" w:color="auto" w:fill="FFFFFF"/>
        </w:rPr>
      </w:pPr>
      <w:r>
        <w:rPr>
          <w:rFonts w:hint="eastAsia" w:ascii="黑体" w:hAnsi="ˎ̥" w:eastAsia="黑体" w:cs="黑体"/>
          <w:sz w:val="32"/>
          <w:szCs w:val="32"/>
          <w:shd w:val="clear" w:color="auto" w:fill="FFFFFF"/>
        </w:rPr>
        <w:t>第四部分名词解释</w:t>
      </w:r>
      <w:r>
        <w:rPr>
          <w:sz w:val="32"/>
          <w:szCs w:val="32"/>
          <w:shd w:val="clear" w:color="auto" w:fill="FFFFFF"/>
        </w:rPr>
        <w:tab/>
      </w:r>
      <w:bookmarkStart w:id="1" w:name="_Toc15425_WPSOffice_Level1Page"/>
      <w:r>
        <w:rPr>
          <w:sz w:val="32"/>
          <w:szCs w:val="32"/>
          <w:shd w:val="clear" w:color="auto" w:fill="FFFFFF"/>
        </w:rPr>
        <w:t>1</w:t>
      </w:r>
      <w:bookmarkEnd w:id="0"/>
      <w:bookmarkEnd w:id="1"/>
      <w:r>
        <w:rPr>
          <w:sz w:val="32"/>
          <w:szCs w:val="32"/>
          <w:shd w:val="clear" w:color="auto" w:fill="FFFFFF"/>
        </w:rPr>
        <w:t>3</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bookmarkStart w:id="2" w:name="_Toc10049_WPSOffice_Level1"/>
      <w:bookmarkStart w:id="3" w:name="_Toc22941_WPSOffice_Level1"/>
      <w:bookmarkStart w:id="4" w:name="_Toc23465_WPSOffice_Level1"/>
      <w:bookmarkStart w:id="5" w:name="_Toc32433_WPSOffice_Level1"/>
      <w:bookmarkStart w:id="6" w:name="_Toc10720_WPSOffice_Level1"/>
      <w:bookmarkStart w:id="7" w:name="_Toc1704_WPSOffice_Level1"/>
      <w:bookmarkStart w:id="8" w:name="_Toc24238_WPSOffice_Level2"/>
      <w:bookmarkStart w:id="9" w:name="_Toc14159_WPSOffice_Level2"/>
      <w:bookmarkStart w:id="10" w:name="_Toc26580_WPSOffice_Level2"/>
      <w:bookmarkStart w:id="11" w:name="_Toc20274_WPSOffice_Level2"/>
      <w:bookmarkStart w:id="12" w:name="_Toc20205_WPSOffice_Level2"/>
      <w:bookmarkStart w:id="13" w:name="_Toc32622_WPSOffice_Level2"/>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r>
        <w:rPr>
          <w:rFonts w:hint="eastAsia" w:ascii="黑体" w:hAnsi="ˎ̥" w:eastAsia="黑体" w:cs="黑体"/>
          <w:sz w:val="32"/>
          <w:szCs w:val="32"/>
          <w:shd w:val="clear" w:color="auto" w:fill="FFFFFF"/>
        </w:rPr>
        <w:t>第一部分</w:t>
      </w:r>
      <w:bookmarkEnd w:id="2"/>
      <w:bookmarkEnd w:id="3"/>
      <w:bookmarkEnd w:id="4"/>
      <w:bookmarkEnd w:id="5"/>
      <w:bookmarkEnd w:id="6"/>
      <w:bookmarkEnd w:id="7"/>
      <w:r>
        <w:rPr>
          <w:rFonts w:hint="eastAsia" w:ascii="黑体" w:hAnsi="ˎ̥" w:eastAsia="黑体" w:cs="黑体"/>
          <w:sz w:val="32"/>
          <w:szCs w:val="32"/>
          <w:shd w:val="clear" w:color="auto" w:fill="FFFFFF"/>
        </w:rPr>
        <w:t>基本情况</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sz w:val="32"/>
          <w:szCs w:val="32"/>
          <w:shd w:val="clear" w:color="auto" w:fill="FFFFFF"/>
        </w:rPr>
      </w:pPr>
    </w:p>
    <w:p>
      <w:pPr>
        <w:pStyle w:val="16"/>
        <w:keepNext/>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部门</w:t>
      </w:r>
      <w:bookmarkEnd w:id="8"/>
      <w:r>
        <w:rPr>
          <w:rFonts w:hint="eastAsia" w:ascii="黑体" w:hAnsi="宋体" w:eastAsia="黑体" w:cs="黑体"/>
          <w:sz w:val="32"/>
          <w:szCs w:val="32"/>
          <w:shd w:val="clear" w:color="auto" w:fill="FFFFFF"/>
        </w:rPr>
        <w:t>（单位）职责</w:t>
      </w:r>
      <w:bookmarkEnd w:id="9"/>
      <w:bookmarkEnd w:id="10"/>
      <w:bookmarkEnd w:id="11"/>
      <w:bookmarkEnd w:id="12"/>
      <w:bookmarkEnd w:id="13"/>
    </w:p>
    <w:p>
      <w:pPr>
        <w:pStyle w:val="16"/>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ascii="仿宋_GB2312" w:hAnsi="ˎ̥" w:eastAsia="仿宋_GB2312" w:cs="仿宋_GB2312"/>
          <w:sz w:val="32"/>
          <w:szCs w:val="32"/>
        </w:rPr>
        <w:t>本单位的职责是实施学前教育，促进学前教育发展等相关社会服务。</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bookmarkStart w:id="14" w:name="_Toc6572_WPSOffice_Level2"/>
      <w:bookmarkStart w:id="15" w:name="_Toc24059_WPSOffice_Level2"/>
      <w:bookmarkStart w:id="16" w:name="_Toc4833_WPSOffice_Level2"/>
      <w:bookmarkStart w:id="17" w:name="_Toc17796_WPSOffice_Level2"/>
      <w:bookmarkStart w:id="18" w:name="_Toc24474_WPSOffice_Level2"/>
      <w:r>
        <w:rPr>
          <w:rFonts w:hint="eastAsia" w:ascii="黑体" w:hAnsi="宋体" w:eastAsia="黑体" w:cs="黑体"/>
          <w:sz w:val="32"/>
          <w:szCs w:val="32"/>
          <w:shd w:val="clear" w:color="auto" w:fill="FFFFFF"/>
        </w:rPr>
        <w:t>二、机构设置</w:t>
      </w:r>
      <w:bookmarkEnd w:id="14"/>
      <w:bookmarkEnd w:id="15"/>
      <w:bookmarkEnd w:id="16"/>
      <w:bookmarkEnd w:id="17"/>
      <w:bookmarkEnd w:id="18"/>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纳入</w:t>
      </w:r>
      <w:r>
        <w:rPr>
          <w:rFonts w:ascii="仿宋_GB2312" w:hAnsi="ˎ̥" w:eastAsia="仿宋_GB2312" w:cs="仿宋_GB2312"/>
          <w:sz w:val="32"/>
          <w:szCs w:val="32"/>
        </w:rPr>
        <w:t>定安县机关幼儿园部门</w:t>
      </w:r>
      <w:r>
        <w:rPr>
          <w:rFonts w:ascii="仿宋_GB2312" w:hAnsi="ˎ̥" w:eastAsia="仿宋_GB2312" w:cs="仿宋_GB2312"/>
          <w:sz w:val="32"/>
          <w:szCs w:val="32"/>
          <w:shd w:val="clear" w:color="auto" w:fill="FFFFFF"/>
        </w:rPr>
        <w:t>2021年度部门决算编制范围的二级预算单位包括：</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w:t>
      </w:r>
      <w:r>
        <w:rPr>
          <w:rFonts w:hint="eastAsia" w:ascii="楷体_GB2312" w:hAnsi="楷体_GB2312" w:eastAsia="楷体_GB2312" w:cs="楷体_GB2312"/>
          <w:sz w:val="32"/>
          <w:szCs w:val="32"/>
        </w:rPr>
        <w:t>定安县机关幼儿园</w:t>
      </w:r>
      <w:r>
        <w:rPr>
          <w:rFonts w:hint="eastAsia" w:ascii="楷体_GB2312" w:hAnsi="楷体_GB2312" w:eastAsia="楷体_GB2312" w:cs="楷体_GB2312"/>
          <w:sz w:val="32"/>
          <w:szCs w:val="32"/>
          <w:shd w:val="clear" w:color="auto" w:fill="FFFFFF"/>
        </w:rPr>
        <w:t>部门本级</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（二）定安县金鸡岭幼儿园（</w:t>
      </w:r>
      <w:r>
        <w:rPr>
          <w:rFonts w:hint="eastAsia" w:ascii="楷体_GB2312" w:hAnsi="楷体_GB2312" w:eastAsia="楷体_GB2312" w:cs="楷体_GB2312"/>
          <w:sz w:val="32"/>
          <w:szCs w:val="32"/>
        </w:rPr>
        <w:t>下属单位）</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（三）定安县潭黎幼儿园（下属单位）</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（四）定安县富文幼儿园（下属单位）</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如果是基层预算单位，没有下属单位的，可只说明单位内设机构即可。</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（注：如果是基层预算单位，没有下属单位的，可只说明单位内设机构即可。）</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bookmarkStart w:id="19" w:name="_Toc30690_WPSOffice_Level1"/>
      <w:bookmarkStart w:id="20" w:name="_Toc28253_WPSOffice_Level1"/>
      <w:bookmarkStart w:id="21" w:name="_Toc6234_WPSOffice_Level1"/>
      <w:bookmarkStart w:id="22" w:name="_Toc15521_WPSOffice_Level1"/>
      <w:bookmarkStart w:id="23" w:name="_Toc30451_WPSOffice_Level1"/>
      <w:bookmarkStart w:id="24" w:name="_Toc8164_WPSOffice_Level1"/>
      <w:bookmarkStart w:id="25" w:name="_Toc4029_WPSOffice_Level2"/>
      <w:bookmarkStart w:id="26" w:name="_Toc8867_WPSOffice_Level2"/>
      <w:bookmarkStart w:id="27" w:name="_Toc11518_WPSOffice_Level2"/>
      <w:bookmarkStart w:id="28" w:name="_Toc6211_WPSOffice_Level2"/>
      <w:bookmarkStart w:id="29" w:name="_Toc32472_WPSOffice_Level2"/>
      <w:bookmarkStart w:id="30" w:name="_Toc32695_WPSOffice_Level2"/>
      <w:r>
        <w:rPr>
          <w:rFonts w:hint="eastAsia" w:ascii="黑体" w:hAnsi="ˎ̥" w:eastAsia="黑体" w:cs="黑体"/>
          <w:sz w:val="32"/>
          <w:szCs w:val="32"/>
          <w:shd w:val="clear" w:color="auto" w:fill="FFFFFF"/>
        </w:rPr>
        <w:t>第二部分  2022年度部门决算公开报表</w:t>
      </w:r>
      <w:bookmarkEnd w:id="19"/>
      <w:bookmarkEnd w:id="20"/>
      <w:bookmarkEnd w:id="21"/>
      <w:bookmarkEnd w:id="22"/>
      <w:bookmarkEnd w:id="23"/>
      <w:bookmarkEnd w:id="24"/>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一、收入支出决算公开表</w:t>
      </w:r>
      <w:bookmarkEnd w:id="25"/>
      <w:bookmarkEnd w:id="26"/>
      <w:bookmarkEnd w:id="27"/>
      <w:bookmarkEnd w:id="28"/>
      <w:bookmarkEnd w:id="29"/>
      <w:bookmarkEnd w:id="30"/>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bookmarkStart w:id="31" w:name="_Toc28622_WPSOffice_Level2"/>
      <w:bookmarkStart w:id="32" w:name="_Toc25608_WPSOffice_Level2"/>
      <w:bookmarkStart w:id="33" w:name="_Toc26621_WPSOffice_Level2"/>
      <w:bookmarkStart w:id="34" w:name="_Toc30334_WPSOffice_Level2"/>
      <w:bookmarkStart w:id="35" w:name="_Toc23139_WPSOffice_Level2"/>
      <w:bookmarkStart w:id="36" w:name="_Toc14349_WPSOffice_Level2"/>
      <w:r>
        <w:rPr>
          <w:rFonts w:hint="eastAsia" w:ascii="黑体" w:hAnsi="宋体" w:eastAsia="黑体" w:cs="黑体"/>
          <w:sz w:val="32"/>
          <w:szCs w:val="32"/>
          <w:shd w:val="clear" w:color="auto" w:fill="FFFFFF"/>
        </w:rPr>
        <w:t>二、收入决算公开表</w:t>
      </w:r>
      <w:bookmarkEnd w:id="31"/>
      <w:bookmarkEnd w:id="32"/>
      <w:bookmarkEnd w:id="33"/>
      <w:bookmarkEnd w:id="34"/>
      <w:bookmarkEnd w:id="35"/>
      <w:bookmarkEnd w:id="36"/>
      <w:bookmarkStart w:id="37" w:name="_Toc3262_WPSOffice_Level2"/>
      <w:bookmarkStart w:id="38" w:name="_Toc14658_WPSOffice_Level2"/>
      <w:bookmarkStart w:id="39" w:name="_Toc13854_WPSOffice_Level2"/>
      <w:bookmarkStart w:id="40" w:name="_Toc17858_WPSOffice_Level2"/>
      <w:bookmarkStart w:id="41" w:name="_Toc5489_WPSOffice_Level2"/>
      <w:bookmarkStart w:id="42" w:name="_Toc17626_WPSOffice_Level2"/>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三、支出决算公开表</w:t>
      </w:r>
      <w:bookmarkEnd w:id="37"/>
      <w:bookmarkEnd w:id="38"/>
      <w:bookmarkEnd w:id="39"/>
      <w:bookmarkEnd w:id="40"/>
      <w:bookmarkEnd w:id="41"/>
      <w:bookmarkEnd w:id="42"/>
      <w:bookmarkStart w:id="43" w:name="_Toc23591_WPSOffice_Level2"/>
      <w:bookmarkStart w:id="44" w:name="_Toc21415_WPSOffice_Level2"/>
      <w:bookmarkStart w:id="45" w:name="_Toc4265_WPSOffice_Level2"/>
      <w:bookmarkStart w:id="46" w:name="_Toc23493_WPSOffice_Level2"/>
      <w:bookmarkStart w:id="47" w:name="_Toc7988_WPSOffice_Level2"/>
      <w:bookmarkStart w:id="48" w:name="_Toc13701_WPSOffice_Level2"/>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四、财政拨款收入支出决算公开表</w:t>
      </w:r>
      <w:bookmarkEnd w:id="43"/>
      <w:bookmarkEnd w:id="44"/>
      <w:bookmarkEnd w:id="45"/>
      <w:bookmarkEnd w:id="46"/>
      <w:bookmarkEnd w:id="47"/>
      <w:bookmarkEnd w:id="48"/>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bookmarkStart w:id="49" w:name="_Toc25166_WPSOffice_Level2"/>
      <w:bookmarkStart w:id="50" w:name="_Toc7879_WPSOffice_Level2"/>
      <w:bookmarkStart w:id="51" w:name="_Toc22783_WPSOffice_Level2"/>
      <w:bookmarkStart w:id="52" w:name="_Toc23829_WPSOffice_Level2"/>
      <w:bookmarkStart w:id="53" w:name="_Toc2158_WPSOffice_Level2"/>
      <w:bookmarkStart w:id="54" w:name="_Toc13516_WPSOffice_Level2"/>
      <w:r>
        <w:rPr>
          <w:rFonts w:hint="eastAsia" w:ascii="黑体" w:hAnsi="宋体" w:eastAsia="黑体" w:cs="黑体"/>
          <w:sz w:val="32"/>
          <w:szCs w:val="32"/>
          <w:shd w:val="clear" w:color="auto" w:fill="FFFFFF"/>
        </w:rPr>
        <w:t>五、一般公共预算财政拨款收入支出决算</w:t>
      </w:r>
      <w:bookmarkEnd w:id="49"/>
      <w:bookmarkEnd w:id="50"/>
      <w:bookmarkEnd w:id="51"/>
      <w:bookmarkEnd w:id="52"/>
      <w:r>
        <w:rPr>
          <w:rFonts w:hint="eastAsia" w:ascii="黑体" w:hAnsi="宋体" w:eastAsia="黑体" w:cs="黑体"/>
          <w:sz w:val="32"/>
          <w:szCs w:val="32"/>
          <w:shd w:val="clear" w:color="auto" w:fill="FFFFFF"/>
        </w:rPr>
        <w:t>公开表</w:t>
      </w:r>
      <w:bookmarkEnd w:id="53"/>
      <w:bookmarkEnd w:id="54"/>
      <w:bookmarkStart w:id="55" w:name="_Toc8373_WPSOffice_Level2"/>
      <w:bookmarkStart w:id="56" w:name="_Toc2632_WPSOffice_Level2"/>
      <w:bookmarkStart w:id="57" w:name="_Toc17833_WPSOffice_Level2"/>
      <w:bookmarkStart w:id="58" w:name="_Toc25362_WPSOffice_Level2"/>
      <w:bookmarkStart w:id="59" w:name="_Toc17283_WPSOffice_Level2"/>
      <w:bookmarkStart w:id="60" w:name="_Toc5343_WPSOffice_Level2"/>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六、一般公共预算财政拨款基本支出决算</w:t>
      </w:r>
      <w:bookmarkEnd w:id="55"/>
      <w:bookmarkEnd w:id="56"/>
      <w:bookmarkEnd w:id="57"/>
      <w:bookmarkEnd w:id="58"/>
      <w:bookmarkEnd w:id="59"/>
      <w:bookmarkEnd w:id="60"/>
      <w:r>
        <w:rPr>
          <w:rFonts w:hint="eastAsia" w:ascii="黑体" w:hAnsi="宋体" w:eastAsia="黑体" w:cs="黑体"/>
          <w:sz w:val="32"/>
          <w:szCs w:val="32"/>
          <w:shd w:val="clear" w:color="auto" w:fill="FFFFFF"/>
        </w:rPr>
        <w:t>公开表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bookmarkStart w:id="61" w:name="_Toc21310_WPSOffice_Level2"/>
      <w:bookmarkStart w:id="62" w:name="_Toc5594_WPSOffice_Level2"/>
      <w:bookmarkStart w:id="63" w:name="_Toc13345_WPSOffice_Level2"/>
      <w:bookmarkStart w:id="64" w:name="_Toc11799_WPSOffice_Level2"/>
      <w:bookmarkStart w:id="65" w:name="_Toc6020_WPSOffice_Level2"/>
      <w:bookmarkStart w:id="66" w:name="_Toc1533_WPSOffice_Level2"/>
      <w:r>
        <w:rPr>
          <w:rFonts w:hint="eastAsia" w:ascii="黑体" w:hAnsi="宋体" w:eastAsia="黑体" w:cs="黑体"/>
          <w:sz w:val="32"/>
          <w:szCs w:val="32"/>
          <w:shd w:val="clear" w:color="auto" w:fill="FFFFFF"/>
        </w:rPr>
        <w:t>七、政府性基金预算财政拨款收入支出决算</w:t>
      </w:r>
      <w:bookmarkEnd w:id="61"/>
      <w:bookmarkEnd w:id="62"/>
      <w:bookmarkEnd w:id="63"/>
      <w:bookmarkEnd w:id="64"/>
      <w:bookmarkEnd w:id="65"/>
      <w:bookmarkEnd w:id="66"/>
      <w:r>
        <w:rPr>
          <w:rFonts w:hint="eastAsia" w:ascii="黑体" w:hAnsi="宋体" w:eastAsia="黑体" w:cs="黑体"/>
          <w:sz w:val="32"/>
          <w:szCs w:val="32"/>
          <w:shd w:val="clear" w:color="auto" w:fill="FFFFFF"/>
        </w:rPr>
        <w:t>公开表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八、国有资本经营预算财政拨款收入支出决算公开表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bookmarkStart w:id="67" w:name="_Toc9377_WPSOffice_Level2"/>
      <w:bookmarkStart w:id="68" w:name="_Toc1820_WPSOffice_Level2"/>
      <w:bookmarkStart w:id="69" w:name="_Toc19961_WPSOffice_Level2"/>
      <w:bookmarkStart w:id="70" w:name="_Toc29886_WPSOffice_Level2"/>
      <w:r>
        <w:rPr>
          <w:rFonts w:hint="eastAsia" w:ascii="黑体" w:hAnsi="宋体" w:eastAsia="黑体" w:cs="黑体"/>
          <w:sz w:val="32"/>
          <w:szCs w:val="32"/>
          <w:shd w:val="clear" w:color="auto" w:fill="FFFFFF"/>
        </w:rPr>
        <w:t>九、财政拨款“三公”经费支出决算</w:t>
      </w:r>
      <w:bookmarkEnd w:id="67"/>
      <w:bookmarkEnd w:id="68"/>
      <w:bookmarkEnd w:id="69"/>
      <w:bookmarkEnd w:id="70"/>
      <w:r>
        <w:rPr>
          <w:rFonts w:hint="eastAsia" w:ascii="黑体" w:hAnsi="宋体" w:eastAsia="黑体" w:cs="黑体"/>
          <w:sz w:val="32"/>
          <w:szCs w:val="32"/>
          <w:shd w:val="clear" w:color="auto" w:fill="FFFFFF"/>
        </w:rPr>
        <w:t>公开表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14" w:firstLineChars="200"/>
        <w:textAlignment w:val="auto"/>
        <w:rPr>
          <w:rFonts w:ascii="黑体" w:hAnsi="宋体" w:eastAsia="黑体" w:cs="黑体"/>
          <w:sz w:val="32"/>
          <w:szCs w:val="32"/>
          <w:shd w:val="clear" w:color="auto" w:fill="FFFFFF"/>
        </w:rPr>
      </w:pPr>
      <w:r>
        <w:rPr>
          <w:rFonts w:hint="eastAsia" w:ascii="黑体" w:hAnsi="宋体" w:eastAsia="黑体" w:cs="黑体"/>
          <w:w w:val="96"/>
          <w:sz w:val="32"/>
          <w:szCs w:val="32"/>
          <w:shd w:val="clear" w:color="auto" w:fill="FFFFFF"/>
        </w:rPr>
        <w:t>以上报表见附件1。</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bookmarkStart w:id="71" w:name="_Toc28629_WPSOffice_Level1"/>
      <w:bookmarkStart w:id="72" w:name="_Toc29683_WPSOffice_Level1"/>
      <w:bookmarkStart w:id="73" w:name="_Toc4402_WPSOffice_Level1"/>
      <w:bookmarkStart w:id="74" w:name="_Toc27590_WPSOffice_Level1"/>
      <w:bookmarkStart w:id="75" w:name="_Toc31264_WPSOffice_Level1"/>
      <w:bookmarkStart w:id="76" w:name="_Toc16686_WPSOffice_Level1"/>
      <w:r>
        <w:rPr>
          <w:rFonts w:hint="eastAsia" w:ascii="黑体" w:hAnsi="ˎ̥" w:eastAsia="黑体" w:cs="黑体"/>
          <w:sz w:val="32"/>
          <w:szCs w:val="32"/>
          <w:shd w:val="clear" w:color="auto" w:fill="FFFFFF"/>
        </w:rPr>
        <w:t>第三部分  2022年度部门决算情况说明</w:t>
      </w:r>
      <w:bookmarkEnd w:id="71"/>
      <w:bookmarkEnd w:id="72"/>
      <w:bookmarkEnd w:id="73"/>
      <w:bookmarkEnd w:id="74"/>
      <w:bookmarkEnd w:id="75"/>
      <w:bookmarkEnd w:id="76"/>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p>
    <w:p>
      <w:pPr>
        <w:keepNext/>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黑体" w:hAnsi="宋体" w:eastAsia="黑体" w:cs="黑体"/>
          <w:bCs/>
          <w:sz w:val="32"/>
          <w:szCs w:val="32"/>
          <w:shd w:val="clear" w:color="auto" w:fill="FFFFFF"/>
        </w:rPr>
        <w:t>收入支出总体情况说明</w:t>
      </w:r>
    </w:p>
    <w:p>
      <w:pPr>
        <w:keepNext/>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2022年度收入总计</w:t>
      </w:r>
      <w:r>
        <w:rPr>
          <w:rFonts w:hint="eastAsia" w:ascii="仿宋_GB2312" w:hAnsi="ˎ̥" w:eastAsia="仿宋_GB2312" w:cs="仿宋_GB2312"/>
          <w:sz w:val="32"/>
          <w:szCs w:val="32"/>
          <w:shd w:val="clear" w:color="auto" w:fill="FFFFFF"/>
          <w:lang w:val="en-US" w:eastAsia="zh-CN"/>
        </w:rPr>
        <w:t>984.32</w:t>
      </w:r>
      <w:r>
        <w:rPr>
          <w:rFonts w:hint="eastAsia" w:ascii="仿宋_GB2312" w:hAnsi="ˎ̥" w:eastAsia="仿宋_GB2312" w:cs="仿宋_GB2312"/>
          <w:sz w:val="32"/>
          <w:szCs w:val="32"/>
          <w:shd w:val="clear" w:color="auto" w:fill="FFFFFF"/>
        </w:rPr>
        <w:t>万元，支出总计1057.</w:t>
      </w:r>
      <w:r>
        <w:rPr>
          <w:rFonts w:hint="eastAsia" w:ascii="仿宋_GB2312" w:hAnsi="ˎ̥" w:eastAsia="仿宋_GB2312" w:cs="仿宋_GB2312"/>
          <w:sz w:val="32"/>
          <w:szCs w:val="32"/>
          <w:shd w:val="clear" w:color="auto" w:fill="FFFFFF"/>
          <w:lang w:val="en-US" w:eastAsia="zh-CN"/>
        </w:rPr>
        <w:t>3</w:t>
      </w:r>
      <w:bookmarkStart w:id="119" w:name="_GoBack"/>
      <w:bookmarkEnd w:id="119"/>
      <w:r>
        <w:rPr>
          <w:rFonts w:hint="eastAsia" w:ascii="仿宋_GB2312" w:hAnsi="ˎ̥" w:eastAsia="仿宋_GB2312" w:cs="仿宋_GB2312"/>
          <w:sz w:val="32"/>
          <w:szCs w:val="32"/>
          <w:shd w:val="clear" w:color="auto" w:fill="FFFFFF"/>
        </w:rPr>
        <w:t>4万元，与2021年度相比，收入、支出总计各减少83.69万元，下降7.33%。主要原因：</w:t>
      </w:r>
      <w:r>
        <w:rPr>
          <w:rFonts w:ascii="仿宋_GB2312" w:hAnsi="ˎ̥" w:eastAsia="仿宋_GB2312" w:cs="仿宋_GB2312"/>
          <w:sz w:val="32"/>
          <w:szCs w:val="32"/>
        </w:rPr>
        <w:t>一是</w:t>
      </w:r>
      <w:r>
        <w:rPr>
          <w:rFonts w:hint="eastAsia" w:ascii="仿宋_GB2312" w:hAnsi="ˎ̥" w:eastAsia="仿宋_GB2312" w:cs="仿宋_GB2312"/>
          <w:sz w:val="32"/>
          <w:szCs w:val="32"/>
          <w:lang w:val="en-US" w:eastAsia="zh-CN"/>
        </w:rPr>
        <w:t>收入口径调整，本年保教费收入不再列入事业收入，列入一般公共预算收入财政统筹拨付，故事业收入大幅下降影响了收入总计</w:t>
      </w:r>
      <w:r>
        <w:rPr>
          <w:rFonts w:ascii="仿宋_GB2312" w:hAnsi="ˎ̥" w:eastAsia="仿宋_GB2312" w:cs="仿宋_GB2312"/>
          <w:sz w:val="32"/>
          <w:szCs w:val="32"/>
        </w:rPr>
        <w:t>；二是</w:t>
      </w:r>
      <w:r>
        <w:rPr>
          <w:rFonts w:hint="eastAsia" w:ascii="仿宋_GB2312" w:hAnsi="ˎ̥" w:eastAsia="仿宋_GB2312" w:cs="仿宋_GB2312"/>
          <w:sz w:val="32"/>
          <w:szCs w:val="32"/>
          <w:lang w:val="en-US" w:eastAsia="zh-CN"/>
        </w:rPr>
        <w:t>教育支出安排较上年有所减少，主要是有些项目不再安排</w:t>
      </w:r>
      <w:r>
        <w:rPr>
          <w:rFonts w:hint="eastAsia" w:ascii="仿宋_GB2312" w:hAnsi="ˎ̥" w:eastAsia="仿宋_GB2312" w:cs="仿宋_GB2312"/>
          <w:sz w:val="32"/>
          <w:szCs w:val="32"/>
          <w:shd w:val="clear" w:color="auto" w:fill="FFFFFF"/>
        </w:rPr>
        <w:t>。使用非财政拨款结余0万元，较2021年度决算数不变。年初结转结余73.13万元，</w:t>
      </w:r>
      <w:r>
        <w:rPr>
          <w:rFonts w:ascii="仿宋_GB2312" w:hAnsi="ˎ̥" w:eastAsia="仿宋_GB2312" w:cs="仿宋_GB2312"/>
          <w:sz w:val="32"/>
          <w:szCs w:val="32"/>
          <w:shd w:val="clear" w:color="auto" w:fill="FFFFFF"/>
        </w:rPr>
        <w:t>主要是</w:t>
      </w:r>
      <w:r>
        <w:rPr>
          <w:rFonts w:ascii="仿宋_GB2312" w:hAnsi="ˎ̥" w:eastAsia="仿宋_GB2312" w:cs="仿宋_GB2312"/>
          <w:sz w:val="32"/>
          <w:szCs w:val="32"/>
        </w:rPr>
        <w:t>一是保教费结转，二是项目支出结转结余</w:t>
      </w:r>
      <w:r>
        <w:rPr>
          <w:rFonts w:hint="eastAsia" w:ascii="仿宋_GB2312" w:hAnsi="ˎ̥" w:eastAsia="仿宋_GB2312" w:cs="仿宋_GB2312"/>
          <w:sz w:val="32"/>
          <w:szCs w:val="32"/>
          <w:shd w:val="clear" w:color="auto" w:fill="FFFFFF"/>
        </w:rPr>
        <w:t>，较2021年度决算数增加9.97万元，增长15.79%，主要原因是</w:t>
      </w:r>
      <w:r>
        <w:rPr>
          <w:rFonts w:ascii="仿宋_GB2312" w:hAnsi="ˎ̥" w:eastAsia="仿宋_GB2312" w:cs="仿宋_GB2312"/>
          <w:sz w:val="32"/>
          <w:szCs w:val="32"/>
          <w:shd w:val="clear" w:color="auto" w:fill="FFFFFF"/>
        </w:rPr>
        <w:t>本年度</w:t>
      </w:r>
      <w:r>
        <w:rPr>
          <w:rFonts w:hint="eastAsia" w:ascii="仿宋_GB2312" w:hAnsi="ˎ̥" w:eastAsia="仿宋_GB2312" w:cs="仿宋_GB2312"/>
          <w:sz w:val="32"/>
          <w:szCs w:val="32"/>
          <w:shd w:val="clear" w:color="auto" w:fill="FFFFFF"/>
          <w:lang w:val="en-US" w:eastAsia="zh-CN"/>
        </w:rPr>
        <w:t>部分项目经费尚未支出完毕，结转下年使用</w:t>
      </w:r>
      <w:r>
        <w:rPr>
          <w:rFonts w:hint="eastAsia" w:ascii="仿宋_GB2312" w:hAnsi="ˎ̥" w:eastAsia="仿宋_GB2312" w:cs="仿宋_GB2312"/>
          <w:sz w:val="32"/>
          <w:szCs w:val="32"/>
          <w:shd w:val="clear" w:color="auto" w:fill="FFFFFF"/>
        </w:rPr>
        <w:t>。结余分配0.1万元，主要是</w:t>
      </w:r>
      <w:r>
        <w:rPr>
          <w:rFonts w:ascii="仿宋_GB2312" w:hAnsi="ˎ̥" w:eastAsia="仿宋_GB2312" w:cs="仿宋_GB2312"/>
          <w:sz w:val="32"/>
          <w:szCs w:val="32"/>
        </w:rPr>
        <w:t>事业资金</w:t>
      </w:r>
      <w:r>
        <w:rPr>
          <w:rFonts w:hint="eastAsia" w:ascii="仿宋_GB2312" w:hAnsi="ˎ̥" w:eastAsia="仿宋_GB2312" w:cs="仿宋_GB2312"/>
          <w:sz w:val="32"/>
          <w:szCs w:val="32"/>
          <w:shd w:val="clear" w:color="auto" w:fill="FFFFFF"/>
        </w:rPr>
        <w:t>，较2021年度决算数减少0.15万元，下降60%，主要原因是</w:t>
      </w:r>
      <w:r>
        <w:rPr>
          <w:rFonts w:ascii="仿宋_GB2312" w:hAnsi="ˎ̥" w:eastAsia="仿宋_GB2312" w:cs="仿宋_GB2312"/>
          <w:sz w:val="32"/>
          <w:szCs w:val="32"/>
        </w:rPr>
        <w:t>本年度社保正常支出</w:t>
      </w:r>
      <w:r>
        <w:rPr>
          <w:rFonts w:hint="eastAsia" w:ascii="仿宋_GB2312" w:hAnsi="ˎ̥" w:eastAsia="仿宋_GB2312" w:cs="仿宋_GB2312"/>
          <w:sz w:val="32"/>
          <w:szCs w:val="32"/>
          <w:lang w:eastAsia="zh-CN"/>
        </w:rPr>
        <w:t>，</w:t>
      </w:r>
      <w:r>
        <w:rPr>
          <w:rFonts w:hint="eastAsia" w:ascii="仿宋_GB2312" w:hAnsi="ˎ̥" w:eastAsia="仿宋_GB2312" w:cs="仿宋_GB2312"/>
          <w:sz w:val="32"/>
          <w:szCs w:val="32"/>
          <w:lang w:val="en-US" w:eastAsia="zh-CN"/>
        </w:rPr>
        <w:t>结余较少</w:t>
      </w:r>
      <w:r>
        <w:rPr>
          <w:rFonts w:ascii="仿宋_GB2312" w:hAnsi="ˎ̥" w:eastAsia="仿宋_GB2312" w:cs="仿宋_GB2312"/>
          <w:sz w:val="32"/>
          <w:szCs w:val="32"/>
          <w:shd w:val="clear" w:color="auto" w:fill="FFFFFF"/>
        </w:rPr>
        <w:t>。</w:t>
      </w:r>
      <w:r>
        <w:rPr>
          <w:rFonts w:hint="eastAsia" w:ascii="仿宋_GB2312" w:hAnsi="ˎ̥" w:eastAsia="仿宋_GB2312" w:cs="仿宋_GB2312"/>
          <w:sz w:val="32"/>
          <w:szCs w:val="32"/>
          <w:shd w:val="clear" w:color="auto" w:fill="FFFFFF"/>
        </w:rPr>
        <w:t>年末结转结余0万元，较2021年度决算数减少78.40万元，下降100%，主要原因是本年度已全部做事业单位支出。</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（注：2022年度相关决算数据可取自附件财决公开01表；2021年度相关决算数据可取自2021年度部门决算报表财决01表《收入支出决算总表》）</w:t>
      </w:r>
    </w:p>
    <w:p>
      <w:pPr>
        <w:keepNext/>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收入决算情况说明</w:t>
      </w:r>
    </w:p>
    <w:p>
      <w:pPr>
        <w:keepNext/>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本年收入合计984.32万元，其中：财政拨款收入984.07万元，占99.97%；其他收入0.25万元，占0.03%。</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（注：上述各项收入数字可取自财决公开02表）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三、支出决算情况说明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本年支出合计1057.3</w:t>
      </w:r>
      <w:r>
        <w:rPr>
          <w:rFonts w:hint="eastAsia" w:ascii="仿宋_GB2312" w:hAnsi="ˎ̥" w:eastAsia="仿宋_GB2312" w:cs="仿宋_GB2312"/>
          <w:sz w:val="32"/>
          <w:szCs w:val="32"/>
          <w:shd w:val="clear" w:color="auto" w:fill="FFFFFF"/>
          <w:lang w:val="en-US" w:eastAsia="zh-CN"/>
        </w:rPr>
        <w:t>4</w:t>
      </w:r>
      <w:r>
        <w:rPr>
          <w:rFonts w:hint="eastAsia" w:ascii="仿宋_GB2312" w:hAnsi="ˎ̥" w:eastAsia="仿宋_GB2312" w:cs="仿宋_GB2312"/>
          <w:sz w:val="32"/>
          <w:szCs w:val="32"/>
          <w:shd w:val="clear" w:color="auto" w:fill="FFFFFF"/>
        </w:rPr>
        <w:t>万元，其中：基本支出559.61万元，占52.93%；项目支出497.73万元，占47.07%。</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（注：上述各项支出数字可取自财决公开03表）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四、财政拨款收入支出决算总体情况说明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rPr>
        <w:t>2022年度财政拨款收入984.07万元，支出984.07万元。与2021年度相比，财政拨款收入、支出各增加</w:t>
      </w:r>
      <w:r>
        <w:rPr>
          <w:rFonts w:hint="eastAsia" w:ascii="仿宋_GB2312" w:hAnsi="ˎ̥" w:eastAsia="仿宋_GB2312" w:cs="仿宋_GB2312"/>
          <w:sz w:val="32"/>
          <w:szCs w:val="32"/>
          <w:shd w:val="clear" w:color="auto" w:fill="FFFFFF"/>
          <w:lang w:val="en-US" w:eastAsia="zh-CN"/>
        </w:rPr>
        <w:t>142.99</w:t>
      </w:r>
      <w:r>
        <w:rPr>
          <w:rFonts w:hint="eastAsia" w:ascii="仿宋_GB2312" w:hAnsi="ˎ̥" w:eastAsia="仿宋_GB2312" w:cs="仿宋_GB2312"/>
          <w:sz w:val="32"/>
          <w:szCs w:val="32"/>
          <w:shd w:val="clear" w:color="auto" w:fill="FFFFFF"/>
        </w:rPr>
        <w:t>万元，增长</w:t>
      </w:r>
      <w:r>
        <w:rPr>
          <w:rFonts w:hint="eastAsia" w:ascii="仿宋_GB2312" w:hAnsi="ˎ̥" w:eastAsia="仿宋_GB2312" w:cs="仿宋_GB2312"/>
          <w:sz w:val="32"/>
          <w:szCs w:val="32"/>
          <w:shd w:val="clear" w:color="auto" w:fill="FFFFFF"/>
          <w:lang w:val="en-US" w:eastAsia="zh-CN"/>
        </w:rPr>
        <w:t>17.0</w:t>
      </w:r>
      <w:r>
        <w:rPr>
          <w:rFonts w:hint="eastAsia" w:ascii="仿宋_GB2312" w:hAnsi="ˎ̥" w:eastAsia="仿宋_GB2312" w:cs="仿宋_GB2312"/>
          <w:sz w:val="32"/>
          <w:szCs w:val="32"/>
          <w:shd w:val="clear" w:color="auto" w:fill="FFFFFF"/>
        </w:rPr>
        <w:t>%。主要原因：</w:t>
      </w:r>
      <w:r>
        <w:rPr>
          <w:rFonts w:hint="eastAsia" w:ascii="仿宋_GB2312" w:hAnsi="ˎ̥" w:eastAsia="仿宋_GB2312" w:cs="仿宋_GB2312"/>
          <w:sz w:val="32"/>
          <w:szCs w:val="32"/>
          <w:shd w:val="clear" w:color="auto" w:fill="FFFFFF"/>
          <w:lang w:val="en-US" w:eastAsia="zh-CN"/>
        </w:rPr>
        <w:t>本年幼儿园保教保育费纳入一体化管理，不由财政返还从基本户开支，作为财政拨付收入，所以有所增长。</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财政拨款年初结转结余0万元，较2021年度决算数减少4.92万元，下降100%，主要原因是</w:t>
      </w:r>
      <w:r>
        <w:rPr>
          <w:rFonts w:ascii="仿宋_GB2312" w:hAnsi="ˎ̥" w:eastAsia="仿宋_GB2312" w:cs="仿宋_GB2312"/>
          <w:sz w:val="32"/>
          <w:szCs w:val="32"/>
        </w:rPr>
        <w:t>本年度的项目支出按时完成和支出</w:t>
      </w:r>
      <w:r>
        <w:rPr>
          <w:rFonts w:hint="eastAsia"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财政拨款年末结转结余0万元，较2021年度年末决算数减少4.92万元，下降100%，主要原因是</w:t>
      </w:r>
      <w:r>
        <w:rPr>
          <w:rFonts w:ascii="仿宋_GB2312" w:hAnsi="ˎ̥" w:eastAsia="仿宋_GB2312" w:cs="仿宋_GB2312"/>
          <w:sz w:val="32"/>
          <w:szCs w:val="32"/>
        </w:rPr>
        <w:t>本年度的项目支出按时完成和支出</w:t>
      </w:r>
      <w:r>
        <w:rPr>
          <w:rFonts w:hint="eastAsia"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（注：2022年度决算相关数据可取自财决公开04表。2021年度决算相关数据可取自2021年度部门决算报表财决01-1表《财政拨款收入支出决算总表》）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五、一般公共预算财政拨款支出决算情况说明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sz w:val="32"/>
          <w:szCs w:val="32"/>
          <w:shd w:val="clear" w:color="auto" w:fill="FFFFFF"/>
        </w:rPr>
      </w:pPr>
      <w:bookmarkStart w:id="77" w:name="_Toc13694_WPSOffice_Level2"/>
      <w:bookmarkStart w:id="78" w:name="_Toc23005_WPSOffice_Level2"/>
      <w:bookmarkStart w:id="79" w:name="_Toc19665_WPSOffice_Level2"/>
      <w:bookmarkStart w:id="80" w:name="_Toc21737_WPSOffice_Level2"/>
      <w:bookmarkStart w:id="81" w:name="_Toc9989_WPSOffice_Level2"/>
      <w:bookmarkStart w:id="82" w:name="_Toc17398_WPSOffice_Level2"/>
      <w:r>
        <w:rPr>
          <w:rFonts w:hint="eastAsia" w:ascii="楷体" w:hAnsi="楷体" w:eastAsia="楷体" w:cs="楷体"/>
          <w:sz w:val="32"/>
          <w:szCs w:val="32"/>
          <w:shd w:val="clear" w:color="auto" w:fill="FFFFFF"/>
        </w:rPr>
        <w:t>（一）一般公共预算财政拨款支出决算总体情况</w:t>
      </w:r>
      <w:bookmarkEnd w:id="77"/>
      <w:bookmarkEnd w:id="78"/>
      <w:bookmarkEnd w:id="79"/>
      <w:bookmarkEnd w:id="80"/>
      <w:bookmarkEnd w:id="81"/>
      <w:bookmarkEnd w:id="82"/>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2022年度一般公共预算财政拨款支出984.07万元，占本年支出合计的93.0</w:t>
      </w:r>
      <w:r>
        <w:rPr>
          <w:rFonts w:hint="eastAsia" w:ascii="仿宋_GB2312" w:hAnsi="ˎ̥" w:eastAsia="仿宋_GB2312" w:cs="仿宋_GB2312"/>
          <w:sz w:val="32"/>
          <w:szCs w:val="32"/>
          <w:shd w:val="clear" w:color="auto" w:fill="FFFFFF"/>
          <w:lang w:val="en-US" w:eastAsia="zh-CN"/>
        </w:rPr>
        <w:t>7</w:t>
      </w:r>
      <w:r>
        <w:rPr>
          <w:rFonts w:hint="eastAsia" w:ascii="仿宋_GB2312" w:hAnsi="ˎ̥" w:eastAsia="仿宋_GB2312" w:cs="仿宋_GB2312"/>
          <w:sz w:val="32"/>
          <w:szCs w:val="32"/>
          <w:shd w:val="clear" w:color="auto" w:fill="FFFFFF"/>
        </w:rPr>
        <w:t>%。与2021年度相比，一般公共预算财政拨款支出增加142.99万元，增长17%，主要原因是</w:t>
      </w:r>
      <w:r>
        <w:rPr>
          <w:rFonts w:ascii="仿宋_GB2312" w:hAnsi="ˎ̥" w:eastAsia="仿宋_GB2312" w:cs="仿宋_GB2312"/>
          <w:sz w:val="32"/>
          <w:szCs w:val="32"/>
        </w:rPr>
        <w:t>机关事业单位职业年金纪实，保教费增加</w:t>
      </w:r>
      <w:r>
        <w:rPr>
          <w:rFonts w:hint="eastAsia" w:ascii="仿宋_GB2312" w:hAnsi="ˎ̥" w:eastAsia="仿宋_GB2312" w:cs="仿宋_GB2312"/>
          <w:sz w:val="32"/>
          <w:szCs w:val="32"/>
          <w:shd w:val="clear" w:color="auto" w:fill="FFFFFF"/>
        </w:rPr>
        <w:t>。</w:t>
      </w:r>
    </w:p>
    <w:p>
      <w:pPr>
        <w:keepNext/>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hint="eastAsia" w:ascii="楷体" w:hAnsi="楷体" w:eastAsia="楷体" w:cs="楷体"/>
          <w:sz w:val="32"/>
          <w:szCs w:val="32"/>
          <w:shd w:val="clear" w:color="auto" w:fill="FFFFFF"/>
        </w:rPr>
      </w:pPr>
      <w:bookmarkStart w:id="83" w:name="_Toc2711_WPSOffice_Level2"/>
      <w:bookmarkStart w:id="84" w:name="_Toc18793_WPSOffice_Level2"/>
      <w:bookmarkStart w:id="85" w:name="_Toc23864_WPSOffice_Level2"/>
      <w:bookmarkStart w:id="86" w:name="_Toc19075_WPSOffice_Level2"/>
      <w:bookmarkStart w:id="87" w:name="_Toc19535_WPSOffice_Level2"/>
      <w:bookmarkStart w:id="88" w:name="_Toc27767_WPSOffice_Level2"/>
      <w:r>
        <w:rPr>
          <w:rFonts w:hint="eastAsia" w:ascii="楷体" w:hAnsi="楷体" w:eastAsia="楷体" w:cs="楷体"/>
          <w:sz w:val="32"/>
          <w:szCs w:val="32"/>
          <w:shd w:val="clear" w:color="auto" w:fill="FFFFFF"/>
        </w:rPr>
        <w:t>一般公共预算财政拨款支出决算结构情况</w:t>
      </w:r>
      <w:bookmarkEnd w:id="83"/>
      <w:bookmarkEnd w:id="84"/>
      <w:bookmarkEnd w:id="85"/>
      <w:bookmarkEnd w:id="86"/>
      <w:bookmarkEnd w:id="87"/>
      <w:bookmarkEnd w:id="88"/>
    </w:p>
    <w:p>
      <w:pPr>
        <w:keepNext/>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2022年度一般公共预算财政拨款支出984.07万元，主要用于以下方面：</w:t>
      </w:r>
      <w:r>
        <w:rPr>
          <w:rFonts w:ascii="仿宋_GB2312" w:hAnsi="ˎ̥" w:eastAsia="仿宋_GB2312" w:cs="仿宋_GB2312"/>
          <w:b/>
          <w:bCs/>
          <w:sz w:val="32"/>
          <w:szCs w:val="32"/>
          <w:shd w:val="clear" w:color="auto" w:fill="FFFFFF"/>
        </w:rPr>
        <w:t>教育（类）</w:t>
      </w:r>
      <w:r>
        <w:rPr>
          <w:rFonts w:ascii="仿宋_GB2312" w:hAnsi="ˎ̥" w:eastAsia="仿宋_GB2312" w:cs="仿宋_GB2312"/>
          <w:sz w:val="32"/>
          <w:szCs w:val="32"/>
          <w:shd w:val="clear" w:color="auto" w:fill="FFFFFF"/>
        </w:rPr>
        <w:t>支出</w:t>
      </w:r>
      <w:r>
        <w:rPr>
          <w:rFonts w:hint="eastAsia" w:ascii="仿宋_GB2312" w:hAnsi="ˎ̥" w:eastAsia="仿宋_GB2312" w:cs="仿宋_GB2312"/>
          <w:sz w:val="32"/>
          <w:szCs w:val="32"/>
          <w:shd w:val="clear" w:color="auto" w:fill="FFFFFF"/>
        </w:rPr>
        <w:t>817.44</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83.07</w:t>
      </w:r>
      <w:r>
        <w:rPr>
          <w:rFonts w:ascii="仿宋_GB2312" w:hAnsi="ˎ̥" w:eastAsia="仿宋_GB2312" w:cs="仿宋_GB2312"/>
          <w:sz w:val="32"/>
          <w:szCs w:val="32"/>
          <w:shd w:val="clear" w:color="auto" w:fill="FFFFFF"/>
        </w:rPr>
        <w:t>%；</w:t>
      </w:r>
      <w:r>
        <w:rPr>
          <w:rFonts w:ascii="仿宋_GB2312" w:hAnsi="ˎ̥" w:eastAsia="仿宋_GB2312" w:cs="仿宋_GB2312"/>
          <w:b/>
          <w:bCs/>
          <w:sz w:val="32"/>
          <w:szCs w:val="32"/>
          <w:shd w:val="clear" w:color="auto" w:fill="FFFFFF"/>
        </w:rPr>
        <w:t>社会保障和就业（类）</w:t>
      </w:r>
      <w:r>
        <w:rPr>
          <w:rFonts w:ascii="仿宋_GB2312" w:hAnsi="ˎ̥" w:eastAsia="仿宋_GB2312" w:cs="仿宋_GB2312"/>
          <w:sz w:val="32"/>
          <w:szCs w:val="32"/>
          <w:shd w:val="clear" w:color="auto" w:fill="FFFFFF"/>
        </w:rPr>
        <w:t>支出</w:t>
      </w:r>
      <w:r>
        <w:rPr>
          <w:rFonts w:hint="eastAsia" w:ascii="仿宋_GB2312" w:hAnsi="ˎ̥" w:eastAsia="仿宋_GB2312" w:cs="仿宋_GB2312"/>
          <w:sz w:val="32"/>
          <w:szCs w:val="32"/>
          <w:shd w:val="clear" w:color="auto" w:fill="FFFFFF"/>
        </w:rPr>
        <w:t>64.28</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6.53</w:t>
      </w:r>
      <w:r>
        <w:rPr>
          <w:rFonts w:ascii="仿宋_GB2312" w:hAnsi="ˎ̥" w:eastAsia="仿宋_GB2312" w:cs="仿宋_GB2312"/>
          <w:sz w:val="32"/>
          <w:szCs w:val="32"/>
          <w:shd w:val="clear" w:color="auto" w:fill="FFFFFF"/>
        </w:rPr>
        <w:t>%；</w:t>
      </w:r>
      <w:r>
        <w:rPr>
          <w:rFonts w:ascii="仿宋_GB2312" w:hAnsi="ˎ̥" w:eastAsia="仿宋_GB2312" w:cs="仿宋_GB2312"/>
          <w:b/>
          <w:bCs/>
          <w:sz w:val="32"/>
          <w:szCs w:val="32"/>
          <w:shd w:val="clear" w:color="auto" w:fill="FFFFFF"/>
        </w:rPr>
        <w:t>卫生健康（类）</w:t>
      </w:r>
      <w:r>
        <w:rPr>
          <w:rFonts w:ascii="仿宋_GB2312" w:hAnsi="ˎ̥" w:eastAsia="仿宋_GB2312" w:cs="仿宋_GB2312"/>
          <w:sz w:val="32"/>
          <w:szCs w:val="32"/>
          <w:shd w:val="clear" w:color="auto" w:fill="FFFFFF"/>
        </w:rPr>
        <w:t>支出</w:t>
      </w:r>
      <w:r>
        <w:rPr>
          <w:rFonts w:hint="eastAsia" w:ascii="仿宋_GB2312" w:hAnsi="ˎ̥" w:eastAsia="仿宋_GB2312" w:cs="仿宋_GB2312"/>
          <w:sz w:val="32"/>
          <w:szCs w:val="32"/>
          <w:shd w:val="clear" w:color="auto" w:fill="FFFFFF"/>
        </w:rPr>
        <w:t>59.07</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6</w:t>
      </w:r>
      <w:r>
        <w:rPr>
          <w:rFonts w:ascii="仿宋_GB2312" w:hAnsi="ˎ̥" w:eastAsia="仿宋_GB2312" w:cs="仿宋_GB2312"/>
          <w:sz w:val="32"/>
          <w:szCs w:val="32"/>
          <w:shd w:val="clear" w:color="auto" w:fill="FFFFFF"/>
        </w:rPr>
        <w:t>%；</w:t>
      </w:r>
      <w:r>
        <w:rPr>
          <w:rFonts w:ascii="仿宋_GB2312" w:hAnsi="ˎ̥" w:eastAsia="仿宋_GB2312" w:cs="仿宋_GB2312"/>
          <w:b/>
          <w:bCs/>
          <w:sz w:val="32"/>
          <w:szCs w:val="32"/>
          <w:shd w:val="clear" w:color="auto" w:fill="FFFFFF"/>
        </w:rPr>
        <w:t>住房保障（类）</w:t>
      </w:r>
      <w:r>
        <w:rPr>
          <w:rFonts w:ascii="仿宋_GB2312" w:hAnsi="ˎ̥" w:eastAsia="仿宋_GB2312" w:cs="仿宋_GB2312"/>
          <w:sz w:val="32"/>
          <w:szCs w:val="32"/>
          <w:shd w:val="clear" w:color="auto" w:fill="FFFFFF"/>
        </w:rPr>
        <w:t>支出</w:t>
      </w:r>
      <w:r>
        <w:rPr>
          <w:rFonts w:hint="eastAsia" w:ascii="仿宋_GB2312" w:hAnsi="ˎ̥" w:eastAsia="仿宋_GB2312" w:cs="仿宋_GB2312"/>
          <w:sz w:val="32"/>
          <w:szCs w:val="32"/>
          <w:shd w:val="clear" w:color="auto" w:fill="FFFFFF"/>
        </w:rPr>
        <w:t>43.2</w:t>
      </w:r>
      <w:r>
        <w:rPr>
          <w:rFonts w:hint="eastAsia" w:ascii="仿宋_GB2312" w:hAnsi="ˎ̥" w:eastAsia="仿宋_GB2312" w:cs="仿宋_GB2312"/>
          <w:sz w:val="32"/>
          <w:szCs w:val="32"/>
          <w:shd w:val="clear" w:color="auto" w:fill="FFFFFF"/>
          <w:lang w:val="en-US" w:eastAsia="zh-CN"/>
        </w:rPr>
        <w:t>7</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4.4</w:t>
      </w:r>
      <w:r>
        <w:rPr>
          <w:rFonts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（注：根据各部门（单位）实际支出涉及的支出功能分类类级科目填列）</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sz w:val="32"/>
          <w:szCs w:val="32"/>
          <w:shd w:val="clear" w:color="auto" w:fill="FFFFFF"/>
        </w:rPr>
      </w:pPr>
      <w:bookmarkStart w:id="89" w:name="_Toc21701_WPSOffice_Level2"/>
      <w:bookmarkStart w:id="90" w:name="_Toc29364_WPSOffice_Level2"/>
      <w:bookmarkStart w:id="91" w:name="_Toc9502_WPSOffice_Level2"/>
      <w:bookmarkStart w:id="92" w:name="_Toc25136_WPSOffice_Level2"/>
      <w:bookmarkStart w:id="93" w:name="_Toc22318_WPSOffice_Level2"/>
      <w:bookmarkStart w:id="94" w:name="_Toc15415_WPSOffice_Level2"/>
      <w:r>
        <w:rPr>
          <w:rFonts w:hint="eastAsia" w:ascii="楷体" w:hAnsi="楷体" w:eastAsia="楷体" w:cs="楷体"/>
          <w:sz w:val="32"/>
          <w:szCs w:val="32"/>
          <w:shd w:val="clear" w:color="auto" w:fill="FFFFFF"/>
        </w:rPr>
        <w:t>（三）一般公共预算财政拨款支出决算具体情况</w:t>
      </w:r>
      <w:bookmarkEnd w:id="89"/>
      <w:bookmarkEnd w:id="90"/>
      <w:bookmarkEnd w:id="91"/>
      <w:bookmarkEnd w:id="92"/>
      <w:bookmarkEnd w:id="93"/>
      <w:bookmarkEnd w:id="94"/>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2022年度一般公共预算财政拨款支出年初预算为694.26万元，支出决算为984.07万元，完成年初预算的141.74%。其中：</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textAlignment w:val="auto"/>
        <w:rPr>
          <w:rFonts w:ascii="仿宋_GB2312" w:hAnsi="ˎ̥" w:eastAsia="仿宋_GB2312" w:cs="仿宋_GB2312"/>
          <w:b/>
          <w:bCs/>
          <w:sz w:val="32"/>
          <w:szCs w:val="32"/>
          <w:shd w:val="clear" w:color="auto" w:fill="FFFFFF"/>
        </w:rPr>
      </w:pPr>
      <w:r>
        <w:rPr>
          <w:rFonts w:ascii="仿宋_GB2312" w:hAnsi="ˎ̥" w:eastAsia="仿宋_GB2312" w:cs="仿宋_GB2312"/>
          <w:b/>
          <w:bCs/>
          <w:sz w:val="32"/>
          <w:szCs w:val="32"/>
          <w:shd w:val="clear" w:color="auto" w:fill="FFFFFF"/>
        </w:rPr>
        <w:t>1.教育支出（类）普通教育（款）学前教育（项）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年初预算为</w:t>
      </w:r>
      <w:r>
        <w:rPr>
          <w:rFonts w:hint="eastAsia" w:ascii="仿宋_GB2312" w:hAnsi="ˎ̥" w:eastAsia="仿宋_GB2312" w:cs="仿宋_GB2312"/>
          <w:sz w:val="32"/>
          <w:szCs w:val="32"/>
          <w:shd w:val="clear" w:color="auto" w:fill="FFFFFF"/>
        </w:rPr>
        <w:t>539.54</w:t>
      </w:r>
      <w:r>
        <w:rPr>
          <w:rFonts w:ascii="仿宋_GB2312" w:hAnsi="ˎ̥" w:eastAsia="仿宋_GB2312" w:cs="仿宋_GB2312"/>
          <w:sz w:val="32"/>
          <w:szCs w:val="32"/>
          <w:shd w:val="clear" w:color="auto" w:fill="FFFFFF"/>
        </w:rPr>
        <w:t>万元，支出决算为</w:t>
      </w:r>
      <w:r>
        <w:rPr>
          <w:rFonts w:hint="eastAsia" w:ascii="仿宋_GB2312" w:hAnsi="ˎ̥" w:eastAsia="仿宋_GB2312" w:cs="仿宋_GB2312"/>
          <w:sz w:val="32"/>
          <w:szCs w:val="32"/>
          <w:shd w:val="clear" w:color="auto" w:fill="FFFFFF"/>
        </w:rPr>
        <w:t>817.44</w:t>
      </w:r>
      <w:r>
        <w:rPr>
          <w:rFonts w:ascii="仿宋_GB2312" w:hAnsi="ˎ̥" w:eastAsia="仿宋_GB2312" w:cs="仿宋_GB2312"/>
          <w:sz w:val="32"/>
          <w:szCs w:val="32"/>
          <w:shd w:val="clear" w:color="auto" w:fill="FFFFFF"/>
        </w:rPr>
        <w:t>万元，完成年初预算的</w:t>
      </w:r>
      <w:r>
        <w:rPr>
          <w:rFonts w:hint="eastAsia" w:ascii="仿宋_GB2312" w:hAnsi="ˎ̥" w:eastAsia="仿宋_GB2312" w:cs="仿宋_GB2312"/>
          <w:sz w:val="32"/>
          <w:szCs w:val="32"/>
          <w:shd w:val="clear" w:color="auto" w:fill="FFFFFF"/>
        </w:rPr>
        <w:t>151.51</w:t>
      </w:r>
      <w:r>
        <w:rPr>
          <w:rFonts w:ascii="仿宋_GB2312" w:hAnsi="ˎ̥" w:eastAsia="仿宋_GB2312" w:cs="仿宋_GB2312"/>
          <w:sz w:val="32"/>
          <w:szCs w:val="32"/>
          <w:shd w:val="clear" w:color="auto" w:fill="FFFFFF"/>
        </w:rPr>
        <w:t>%。决算数大于预算数的主要原因：</w:t>
      </w:r>
      <w:r>
        <w:rPr>
          <w:rFonts w:hint="eastAsia" w:ascii="仿宋_GB2312" w:hAnsi="ˎ̥" w:eastAsia="仿宋_GB2312" w:cs="仿宋_GB2312"/>
          <w:sz w:val="32"/>
          <w:szCs w:val="32"/>
          <w:shd w:val="clear" w:color="auto" w:fill="FFFFFF"/>
          <w:lang w:val="en-US" w:eastAsia="zh-CN"/>
        </w:rPr>
        <w:t>年中因实际工作需要，追加预算指标用于农村学前教育教师招聘专项计划补助、公办幼儿园保教费支出</w:t>
      </w:r>
      <w:r>
        <w:rPr>
          <w:rFonts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textAlignment w:val="auto"/>
        <w:rPr>
          <w:rFonts w:ascii="仿宋_GB2312" w:hAnsi="ˎ̥" w:eastAsia="仿宋_GB2312" w:cs="仿宋_GB2312"/>
          <w:b/>
          <w:bCs/>
          <w:sz w:val="32"/>
          <w:szCs w:val="32"/>
          <w:shd w:val="clear" w:color="auto" w:fill="FFFFFF"/>
        </w:rPr>
      </w:pPr>
      <w:r>
        <w:rPr>
          <w:rFonts w:hint="eastAsia" w:ascii="仿宋_GB2312" w:hAnsi="ˎ̥" w:eastAsia="仿宋_GB2312" w:cs="仿宋_GB2312"/>
          <w:b/>
          <w:bCs/>
          <w:sz w:val="32"/>
          <w:szCs w:val="32"/>
          <w:shd w:val="clear" w:color="auto" w:fill="FFFFFF"/>
        </w:rPr>
        <w:t>2</w:t>
      </w:r>
      <w:r>
        <w:rPr>
          <w:rFonts w:ascii="仿宋_GB2312" w:hAnsi="ˎ̥" w:eastAsia="仿宋_GB2312" w:cs="仿宋_GB2312"/>
          <w:b/>
          <w:bCs/>
          <w:sz w:val="32"/>
          <w:szCs w:val="32"/>
          <w:shd w:val="clear" w:color="auto" w:fill="FFFFFF"/>
        </w:rPr>
        <w:t>.社会保障和就业支出（类）行政事业单位养老支出（款）机关事业单位基本养老保险缴费支出（项）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仿宋_GB2312" w:hAnsi="ˎ̥" w:eastAsia="仿宋_GB2312" w:cs="仿宋_GB2312"/>
          <w:sz w:val="32"/>
          <w:szCs w:val="32"/>
          <w:shd w:val="clear" w:color="auto" w:fill="FFFFFF"/>
          <w:lang w:val="en-US" w:eastAsia="zh-CN"/>
        </w:rPr>
      </w:pPr>
      <w:r>
        <w:rPr>
          <w:rFonts w:ascii="仿宋_GB2312" w:hAnsi="ˎ̥" w:eastAsia="仿宋_GB2312" w:cs="仿宋_GB2312"/>
          <w:sz w:val="32"/>
          <w:szCs w:val="32"/>
          <w:shd w:val="clear" w:color="auto" w:fill="FFFFFF"/>
        </w:rPr>
        <w:t>年初预算为</w:t>
      </w:r>
      <w:r>
        <w:rPr>
          <w:rFonts w:hint="eastAsia" w:ascii="仿宋_GB2312" w:hAnsi="ˎ̥" w:eastAsia="仿宋_GB2312" w:cs="仿宋_GB2312"/>
          <w:sz w:val="32"/>
          <w:szCs w:val="32"/>
          <w:shd w:val="clear" w:color="auto" w:fill="FFFFFF"/>
        </w:rPr>
        <w:t>42.22</w:t>
      </w:r>
      <w:r>
        <w:rPr>
          <w:rFonts w:ascii="仿宋_GB2312" w:hAnsi="ˎ̥" w:eastAsia="仿宋_GB2312" w:cs="仿宋_GB2312"/>
          <w:sz w:val="32"/>
          <w:szCs w:val="32"/>
          <w:shd w:val="clear" w:color="auto" w:fill="FFFFFF"/>
        </w:rPr>
        <w:t>万元，支出决算为</w:t>
      </w:r>
      <w:r>
        <w:rPr>
          <w:rFonts w:hint="eastAsia" w:ascii="仿宋_GB2312" w:hAnsi="ˎ̥" w:eastAsia="仿宋_GB2312" w:cs="仿宋_GB2312"/>
          <w:sz w:val="32"/>
          <w:szCs w:val="32"/>
          <w:shd w:val="clear" w:color="auto" w:fill="FFFFFF"/>
        </w:rPr>
        <w:t>51.41</w:t>
      </w:r>
      <w:r>
        <w:rPr>
          <w:rFonts w:ascii="仿宋_GB2312" w:hAnsi="ˎ̥" w:eastAsia="仿宋_GB2312" w:cs="仿宋_GB2312"/>
          <w:sz w:val="32"/>
          <w:szCs w:val="32"/>
          <w:shd w:val="clear" w:color="auto" w:fill="FFFFFF"/>
        </w:rPr>
        <w:t>万元。完成年初预算的</w:t>
      </w:r>
      <w:r>
        <w:rPr>
          <w:rFonts w:hint="eastAsia" w:ascii="仿宋_GB2312" w:hAnsi="ˎ̥" w:eastAsia="仿宋_GB2312" w:cs="仿宋_GB2312"/>
          <w:sz w:val="32"/>
          <w:szCs w:val="32"/>
          <w:shd w:val="clear" w:color="auto" w:fill="FFFFFF"/>
        </w:rPr>
        <w:t>121.77</w:t>
      </w:r>
      <w:r>
        <w:rPr>
          <w:rFonts w:ascii="仿宋_GB2312" w:hAnsi="ˎ̥" w:eastAsia="仿宋_GB2312" w:cs="仿宋_GB2312"/>
          <w:sz w:val="32"/>
          <w:szCs w:val="32"/>
          <w:shd w:val="clear" w:color="auto" w:fill="FFFFFF"/>
        </w:rPr>
        <w:t>%。决算数</w:t>
      </w:r>
      <w:r>
        <w:rPr>
          <w:rFonts w:hint="eastAsia" w:ascii="仿宋_GB2312" w:hAnsi="ˎ̥" w:eastAsia="仿宋_GB2312" w:cs="仿宋_GB2312"/>
          <w:sz w:val="32"/>
          <w:szCs w:val="32"/>
          <w:shd w:val="clear" w:color="auto" w:fill="FFFFFF"/>
        </w:rPr>
        <w:t>大于</w:t>
      </w:r>
      <w:r>
        <w:rPr>
          <w:rFonts w:ascii="仿宋_GB2312" w:hAnsi="ˎ̥" w:eastAsia="仿宋_GB2312" w:cs="仿宋_GB2312"/>
          <w:sz w:val="32"/>
          <w:szCs w:val="32"/>
          <w:shd w:val="clear" w:color="auto" w:fill="FFFFFF"/>
        </w:rPr>
        <w:t>预算数的主要原因：</w:t>
      </w:r>
      <w:r>
        <w:rPr>
          <w:rFonts w:hint="eastAsia" w:ascii="仿宋_GB2312" w:hAnsi="ˎ̥" w:eastAsia="仿宋_GB2312" w:cs="仿宋_GB2312"/>
          <w:sz w:val="32"/>
          <w:szCs w:val="32"/>
          <w:shd w:val="clear" w:color="auto" w:fill="FFFFFF"/>
        </w:rPr>
        <w:t>因</w:t>
      </w:r>
      <w:r>
        <w:rPr>
          <w:rFonts w:hint="eastAsia" w:ascii="仿宋_GB2312" w:hAnsi="ˎ̥" w:eastAsia="仿宋_GB2312" w:cs="仿宋_GB2312"/>
          <w:sz w:val="32"/>
          <w:szCs w:val="32"/>
          <w:shd w:val="clear" w:color="auto" w:fill="FFFFFF"/>
          <w:lang w:val="en-US" w:eastAsia="zh-CN"/>
        </w:rPr>
        <w:t>年中社保基数调高，超过年初编制预算范围，追加部分社保经费导致。</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textAlignment w:val="auto"/>
        <w:rPr>
          <w:rFonts w:ascii="仿宋_GB2312" w:hAnsi="ˎ̥" w:eastAsia="仿宋_GB2312" w:cs="仿宋_GB2312"/>
          <w:b/>
          <w:bCs/>
          <w:sz w:val="32"/>
          <w:szCs w:val="32"/>
          <w:shd w:val="clear" w:color="auto" w:fill="FFFFFF"/>
        </w:rPr>
      </w:pPr>
      <w:r>
        <w:rPr>
          <w:rFonts w:hint="eastAsia" w:ascii="仿宋_GB2312" w:hAnsi="ˎ̥" w:eastAsia="仿宋_GB2312" w:cs="仿宋_GB2312"/>
          <w:b/>
          <w:bCs/>
          <w:sz w:val="32"/>
          <w:szCs w:val="32"/>
          <w:shd w:val="clear" w:color="auto" w:fill="FFFFFF"/>
        </w:rPr>
        <w:t>3</w:t>
      </w:r>
      <w:r>
        <w:rPr>
          <w:rFonts w:ascii="仿宋_GB2312" w:hAnsi="ˎ̥" w:eastAsia="仿宋_GB2312" w:cs="仿宋_GB2312"/>
          <w:b/>
          <w:bCs/>
          <w:sz w:val="32"/>
          <w:szCs w:val="32"/>
          <w:shd w:val="clear" w:color="auto" w:fill="FFFFFF"/>
        </w:rPr>
        <w:t>.社会保障和就业支出（类）行政事业单位养老支出（款）机关事业单位职业年金缴费支出（项）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年初预算为</w:t>
      </w:r>
      <w:r>
        <w:rPr>
          <w:rFonts w:hint="eastAsia" w:ascii="仿宋_GB2312" w:hAnsi="ˎ̥" w:eastAsia="仿宋_GB2312" w:cs="仿宋_GB2312"/>
          <w:sz w:val="32"/>
          <w:szCs w:val="32"/>
          <w:shd w:val="clear" w:color="auto" w:fill="FFFFFF"/>
        </w:rPr>
        <w:t>13.61</w:t>
      </w:r>
      <w:r>
        <w:rPr>
          <w:rFonts w:ascii="仿宋_GB2312" w:hAnsi="ˎ̥" w:eastAsia="仿宋_GB2312" w:cs="仿宋_GB2312"/>
          <w:sz w:val="32"/>
          <w:szCs w:val="32"/>
          <w:shd w:val="clear" w:color="auto" w:fill="FFFFFF"/>
        </w:rPr>
        <w:t>万元，支出决算为</w:t>
      </w:r>
      <w:r>
        <w:rPr>
          <w:rFonts w:hint="eastAsia" w:ascii="仿宋_GB2312" w:hAnsi="ˎ̥" w:eastAsia="仿宋_GB2312" w:cs="仿宋_GB2312"/>
          <w:sz w:val="32"/>
          <w:szCs w:val="32"/>
          <w:shd w:val="clear" w:color="auto" w:fill="FFFFFF"/>
        </w:rPr>
        <w:t>12.87</w:t>
      </w:r>
      <w:r>
        <w:rPr>
          <w:rFonts w:ascii="仿宋_GB2312" w:hAnsi="ˎ̥" w:eastAsia="仿宋_GB2312" w:cs="仿宋_GB2312"/>
          <w:sz w:val="32"/>
          <w:szCs w:val="32"/>
          <w:shd w:val="clear" w:color="auto" w:fill="FFFFFF"/>
        </w:rPr>
        <w:t>万元。完成年初预算的</w:t>
      </w:r>
      <w:r>
        <w:rPr>
          <w:rFonts w:hint="eastAsia" w:ascii="仿宋_GB2312" w:hAnsi="ˎ̥" w:eastAsia="仿宋_GB2312" w:cs="仿宋_GB2312"/>
          <w:sz w:val="32"/>
          <w:szCs w:val="32"/>
          <w:shd w:val="clear" w:color="auto" w:fill="FFFFFF"/>
        </w:rPr>
        <w:t>94.56</w:t>
      </w:r>
      <w:r>
        <w:rPr>
          <w:rFonts w:ascii="仿宋_GB2312" w:hAnsi="ˎ̥" w:eastAsia="仿宋_GB2312" w:cs="仿宋_GB2312"/>
          <w:sz w:val="32"/>
          <w:szCs w:val="32"/>
          <w:shd w:val="clear" w:color="auto" w:fill="FFFFFF"/>
        </w:rPr>
        <w:t>%。决算数小于预算数的主要原因：</w:t>
      </w:r>
      <w:r>
        <w:rPr>
          <w:rFonts w:hint="eastAsia" w:ascii="仿宋_GB2312" w:hAnsi="ˎ̥" w:eastAsia="仿宋_GB2312" w:cs="仿宋_GB2312"/>
          <w:sz w:val="32"/>
          <w:szCs w:val="32"/>
          <w:shd w:val="clear" w:color="auto" w:fill="FFFFFF"/>
        </w:rPr>
        <w:t>人员退休职业年金利息数有差异</w:t>
      </w:r>
      <w:r>
        <w:rPr>
          <w:rFonts w:hint="eastAsia" w:ascii="仿宋_GB2312" w:hAnsi="ˎ̥" w:eastAsia="仿宋_GB2312" w:cs="仿宋_GB2312"/>
          <w:sz w:val="32"/>
          <w:szCs w:val="32"/>
          <w:shd w:val="clear" w:color="auto" w:fill="FFFFFF"/>
          <w:lang w:eastAsia="zh-CN"/>
        </w:rPr>
        <w:t>，</w:t>
      </w:r>
      <w:r>
        <w:rPr>
          <w:rFonts w:hint="eastAsia" w:ascii="仿宋_GB2312" w:hAnsi="ˎ̥" w:eastAsia="仿宋_GB2312" w:cs="仿宋_GB2312"/>
          <w:sz w:val="32"/>
          <w:szCs w:val="32"/>
          <w:shd w:val="clear" w:color="auto" w:fill="FFFFFF"/>
          <w:lang w:val="en-US" w:eastAsia="zh-CN"/>
        </w:rPr>
        <w:t>按实际情况列支</w:t>
      </w:r>
      <w:r>
        <w:rPr>
          <w:rFonts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textAlignment w:val="auto"/>
        <w:rPr>
          <w:rFonts w:ascii="仿宋_GB2312" w:hAnsi="ˎ̥" w:eastAsia="仿宋_GB2312" w:cs="仿宋_GB2312"/>
          <w:b/>
          <w:bCs/>
          <w:sz w:val="32"/>
          <w:szCs w:val="32"/>
          <w:shd w:val="clear" w:color="auto" w:fill="FFFFFF"/>
        </w:rPr>
      </w:pPr>
      <w:r>
        <w:rPr>
          <w:rFonts w:hint="eastAsia" w:ascii="仿宋_GB2312" w:hAnsi="ˎ̥" w:eastAsia="仿宋_GB2312" w:cs="仿宋_GB2312"/>
          <w:b/>
          <w:bCs/>
          <w:sz w:val="32"/>
          <w:szCs w:val="32"/>
          <w:shd w:val="clear" w:color="auto" w:fill="FFFFFF"/>
        </w:rPr>
        <w:t>4</w:t>
      </w:r>
      <w:r>
        <w:rPr>
          <w:rFonts w:ascii="仿宋_GB2312" w:hAnsi="ˎ̥" w:eastAsia="仿宋_GB2312" w:cs="仿宋_GB2312"/>
          <w:b/>
          <w:bCs/>
          <w:sz w:val="32"/>
          <w:szCs w:val="32"/>
          <w:shd w:val="clear" w:color="auto" w:fill="FFFFFF"/>
        </w:rPr>
        <w:t>.卫生健康支出（类）行政事业单位医疗（款）事业单位医疗（项）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年初预算为</w:t>
      </w:r>
      <w:r>
        <w:rPr>
          <w:rFonts w:hint="eastAsia" w:ascii="仿宋_GB2312" w:hAnsi="ˎ̥" w:eastAsia="仿宋_GB2312" w:cs="仿宋_GB2312"/>
          <w:sz w:val="32"/>
          <w:szCs w:val="32"/>
          <w:shd w:val="clear" w:color="auto" w:fill="FFFFFF"/>
        </w:rPr>
        <w:t>22.43</w:t>
      </w:r>
      <w:r>
        <w:rPr>
          <w:rFonts w:ascii="仿宋_GB2312" w:hAnsi="ˎ̥" w:eastAsia="仿宋_GB2312" w:cs="仿宋_GB2312"/>
          <w:sz w:val="32"/>
          <w:szCs w:val="32"/>
          <w:shd w:val="clear" w:color="auto" w:fill="FFFFFF"/>
        </w:rPr>
        <w:t>万元，支出决算为</w:t>
      </w:r>
      <w:r>
        <w:rPr>
          <w:rFonts w:hint="eastAsia" w:ascii="仿宋_GB2312" w:hAnsi="ˎ̥" w:eastAsia="仿宋_GB2312" w:cs="仿宋_GB2312"/>
          <w:sz w:val="32"/>
          <w:szCs w:val="32"/>
          <w:shd w:val="clear" w:color="auto" w:fill="FFFFFF"/>
        </w:rPr>
        <w:t>23.55</w:t>
      </w:r>
      <w:r>
        <w:rPr>
          <w:rFonts w:ascii="仿宋_GB2312" w:hAnsi="ˎ̥" w:eastAsia="仿宋_GB2312" w:cs="仿宋_GB2312"/>
          <w:sz w:val="32"/>
          <w:szCs w:val="32"/>
          <w:shd w:val="clear" w:color="auto" w:fill="FFFFFF"/>
        </w:rPr>
        <w:t>万元，完成年初预算的</w:t>
      </w:r>
      <w:r>
        <w:rPr>
          <w:rFonts w:hint="eastAsia" w:ascii="仿宋_GB2312" w:hAnsi="ˎ̥" w:eastAsia="仿宋_GB2312" w:cs="仿宋_GB2312"/>
          <w:sz w:val="32"/>
          <w:szCs w:val="32"/>
          <w:shd w:val="clear" w:color="auto" w:fill="FFFFFF"/>
          <w:lang w:val="en-US" w:eastAsia="zh-CN"/>
        </w:rPr>
        <w:t>104.99</w:t>
      </w:r>
      <w:r>
        <w:rPr>
          <w:rFonts w:ascii="仿宋_GB2312" w:hAnsi="ˎ̥" w:eastAsia="仿宋_GB2312" w:cs="仿宋_GB2312"/>
          <w:sz w:val="32"/>
          <w:szCs w:val="32"/>
          <w:shd w:val="clear" w:color="auto" w:fill="FFFFFF"/>
        </w:rPr>
        <w:t>%。决算数</w:t>
      </w:r>
      <w:r>
        <w:rPr>
          <w:rFonts w:hint="eastAsia" w:ascii="仿宋_GB2312" w:hAnsi="ˎ̥" w:eastAsia="仿宋_GB2312" w:cs="仿宋_GB2312"/>
          <w:sz w:val="32"/>
          <w:szCs w:val="32"/>
          <w:shd w:val="clear" w:color="auto" w:fill="FFFFFF"/>
        </w:rPr>
        <w:t>大于</w:t>
      </w:r>
      <w:r>
        <w:rPr>
          <w:rFonts w:ascii="仿宋_GB2312" w:hAnsi="ˎ̥" w:eastAsia="仿宋_GB2312" w:cs="仿宋_GB2312"/>
          <w:sz w:val="32"/>
          <w:szCs w:val="32"/>
          <w:shd w:val="clear" w:color="auto" w:fill="FFFFFF"/>
        </w:rPr>
        <w:t>预算数的主要原因：</w:t>
      </w:r>
      <w:r>
        <w:rPr>
          <w:rFonts w:hint="eastAsia" w:ascii="仿宋_GB2312" w:hAnsi="ˎ̥" w:eastAsia="仿宋_GB2312" w:cs="仿宋_GB2312"/>
          <w:sz w:val="32"/>
          <w:szCs w:val="32"/>
          <w:shd w:val="clear" w:color="auto" w:fill="FFFFFF"/>
        </w:rPr>
        <w:t>因</w:t>
      </w:r>
      <w:r>
        <w:rPr>
          <w:rFonts w:hint="eastAsia" w:ascii="仿宋_GB2312" w:hAnsi="ˎ̥" w:eastAsia="仿宋_GB2312" w:cs="仿宋_GB2312"/>
          <w:sz w:val="32"/>
          <w:szCs w:val="32"/>
          <w:shd w:val="clear" w:color="auto" w:fill="FFFFFF"/>
          <w:lang w:val="en-US" w:eastAsia="zh-CN"/>
        </w:rPr>
        <w:t>年中医疗保险基数调高</w:t>
      </w:r>
      <w:r>
        <w:rPr>
          <w:rFonts w:hint="eastAsia" w:ascii="仿宋_GB2312" w:hAnsi="ˎ̥" w:eastAsia="仿宋_GB2312" w:cs="仿宋_GB2312"/>
          <w:sz w:val="32"/>
          <w:szCs w:val="32"/>
          <w:shd w:val="clear" w:color="auto" w:fill="FFFFFF"/>
        </w:rPr>
        <w:t>，</w:t>
      </w:r>
      <w:r>
        <w:rPr>
          <w:rFonts w:hint="eastAsia" w:ascii="仿宋_GB2312" w:hAnsi="ˎ̥" w:eastAsia="仿宋_GB2312" w:cs="仿宋_GB2312"/>
          <w:sz w:val="32"/>
          <w:szCs w:val="32"/>
          <w:shd w:val="clear" w:color="auto" w:fill="FFFFFF"/>
          <w:lang w:val="en-US" w:eastAsia="zh-CN"/>
        </w:rPr>
        <w:t>超过年初编制预算范围，</w:t>
      </w:r>
      <w:r>
        <w:rPr>
          <w:rFonts w:hint="eastAsia" w:ascii="仿宋_GB2312" w:hAnsi="ˎ̥" w:eastAsia="仿宋_GB2312" w:cs="仿宋_GB2312"/>
          <w:sz w:val="32"/>
          <w:szCs w:val="32"/>
          <w:shd w:val="clear" w:color="auto" w:fill="FFFFFF"/>
        </w:rPr>
        <w:t>事业单位医疗支出年中进行了追加</w:t>
      </w:r>
      <w:r>
        <w:rPr>
          <w:rFonts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textAlignment w:val="auto"/>
        <w:rPr>
          <w:rFonts w:ascii="仿宋_GB2312" w:hAnsi="ˎ̥" w:eastAsia="仿宋_GB2312" w:cs="仿宋_GB2312"/>
          <w:b/>
          <w:bCs/>
          <w:sz w:val="32"/>
          <w:szCs w:val="32"/>
          <w:shd w:val="clear" w:color="auto" w:fill="FFFFFF"/>
        </w:rPr>
      </w:pPr>
      <w:r>
        <w:rPr>
          <w:rFonts w:ascii="仿宋_GB2312" w:hAnsi="ˎ̥" w:eastAsia="仿宋_GB2312" w:cs="仿宋_GB2312"/>
          <w:b/>
          <w:bCs/>
          <w:sz w:val="32"/>
          <w:szCs w:val="32"/>
          <w:shd w:val="clear" w:color="auto" w:fill="FFFFFF"/>
        </w:rPr>
        <w:t xml:space="preserve"> </w:t>
      </w:r>
      <w:r>
        <w:rPr>
          <w:rFonts w:hint="eastAsia" w:ascii="仿宋_GB2312" w:hAnsi="ˎ̥" w:eastAsia="仿宋_GB2312" w:cs="仿宋_GB2312"/>
          <w:b/>
          <w:bCs/>
          <w:sz w:val="32"/>
          <w:szCs w:val="32"/>
          <w:shd w:val="clear" w:color="auto" w:fill="FFFFFF"/>
        </w:rPr>
        <w:t>5</w:t>
      </w:r>
      <w:r>
        <w:rPr>
          <w:rFonts w:ascii="仿宋_GB2312" w:hAnsi="ˎ̥" w:eastAsia="仿宋_GB2312" w:cs="仿宋_GB2312"/>
          <w:b/>
          <w:bCs/>
          <w:sz w:val="32"/>
          <w:szCs w:val="32"/>
          <w:shd w:val="clear" w:color="auto" w:fill="FFFFFF"/>
        </w:rPr>
        <w:t>.卫生健康支出（类）行政事业单位医疗（款）公务员医疗补助（项）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仿宋_GB2312" w:hAnsi="ˎ̥" w:eastAsia="仿宋_GB2312" w:cs="仿宋_GB2312"/>
          <w:sz w:val="32"/>
          <w:szCs w:val="32"/>
          <w:shd w:val="clear" w:color="auto" w:fill="FFFFFF"/>
          <w:lang w:val="en-US" w:eastAsia="zh-CN"/>
        </w:rPr>
      </w:pPr>
      <w:r>
        <w:rPr>
          <w:rFonts w:ascii="仿宋_GB2312" w:hAnsi="ˎ̥" w:eastAsia="仿宋_GB2312" w:cs="仿宋_GB2312"/>
          <w:sz w:val="32"/>
          <w:szCs w:val="32"/>
          <w:shd w:val="clear" w:color="auto" w:fill="FFFFFF"/>
        </w:rPr>
        <w:t>年初预算为</w:t>
      </w:r>
      <w:r>
        <w:rPr>
          <w:rFonts w:hint="eastAsia" w:ascii="仿宋_GB2312" w:hAnsi="ˎ̥" w:eastAsia="仿宋_GB2312" w:cs="仿宋_GB2312"/>
          <w:sz w:val="32"/>
          <w:szCs w:val="32"/>
          <w:shd w:val="clear" w:color="auto" w:fill="FFFFFF"/>
        </w:rPr>
        <w:t>41.08</w:t>
      </w:r>
      <w:r>
        <w:rPr>
          <w:rFonts w:ascii="仿宋_GB2312" w:hAnsi="ˎ̥" w:eastAsia="仿宋_GB2312" w:cs="仿宋_GB2312"/>
          <w:sz w:val="32"/>
          <w:szCs w:val="32"/>
          <w:shd w:val="clear" w:color="auto" w:fill="FFFFFF"/>
        </w:rPr>
        <w:t>万元，支出决算为</w:t>
      </w:r>
      <w:r>
        <w:rPr>
          <w:rFonts w:hint="eastAsia" w:ascii="仿宋_GB2312" w:hAnsi="ˎ̥" w:eastAsia="仿宋_GB2312" w:cs="仿宋_GB2312"/>
          <w:sz w:val="32"/>
          <w:szCs w:val="32"/>
          <w:shd w:val="clear" w:color="auto" w:fill="FFFFFF"/>
        </w:rPr>
        <w:t>35.52</w:t>
      </w:r>
      <w:r>
        <w:rPr>
          <w:rFonts w:ascii="仿宋_GB2312" w:hAnsi="ˎ̥" w:eastAsia="仿宋_GB2312" w:cs="仿宋_GB2312"/>
          <w:sz w:val="32"/>
          <w:szCs w:val="32"/>
          <w:shd w:val="clear" w:color="auto" w:fill="FFFFFF"/>
        </w:rPr>
        <w:t>万元，完成年初预算的</w:t>
      </w:r>
      <w:r>
        <w:rPr>
          <w:rFonts w:hint="eastAsia" w:ascii="仿宋_GB2312" w:hAnsi="ˎ̥" w:eastAsia="仿宋_GB2312" w:cs="仿宋_GB2312"/>
          <w:sz w:val="32"/>
          <w:szCs w:val="32"/>
          <w:shd w:val="clear" w:color="auto" w:fill="FFFFFF"/>
        </w:rPr>
        <w:t>86.47</w:t>
      </w:r>
      <w:r>
        <w:rPr>
          <w:rFonts w:ascii="仿宋_GB2312" w:hAnsi="ˎ̥" w:eastAsia="仿宋_GB2312" w:cs="仿宋_GB2312"/>
          <w:sz w:val="32"/>
          <w:szCs w:val="32"/>
          <w:shd w:val="clear" w:color="auto" w:fill="FFFFFF"/>
        </w:rPr>
        <w:t>%。决算数小于预算数的主要原因：</w:t>
      </w:r>
      <w:r>
        <w:rPr>
          <w:rFonts w:hint="eastAsia" w:ascii="仿宋_GB2312" w:hAnsi="ˎ̥" w:eastAsia="仿宋_GB2312" w:cs="仿宋_GB2312"/>
          <w:sz w:val="32"/>
          <w:szCs w:val="32"/>
          <w:shd w:val="clear" w:color="auto" w:fill="FFFFFF"/>
          <w:lang w:val="en-US" w:eastAsia="zh-CN"/>
        </w:rPr>
        <w:t>一是年中有</w:t>
      </w:r>
      <w:r>
        <w:rPr>
          <w:rFonts w:ascii="仿宋_GB2312" w:hAnsi="ˎ̥" w:eastAsia="仿宋_GB2312" w:cs="仿宋_GB2312"/>
          <w:sz w:val="32"/>
          <w:szCs w:val="32"/>
          <w:shd w:val="clear" w:color="auto" w:fill="FFFFFF"/>
        </w:rPr>
        <w:t>人员调出</w:t>
      </w:r>
      <w:r>
        <w:rPr>
          <w:rFonts w:hint="eastAsia" w:ascii="仿宋_GB2312" w:hAnsi="ˎ̥" w:eastAsia="仿宋_GB2312" w:cs="仿宋_GB2312"/>
          <w:sz w:val="32"/>
          <w:szCs w:val="32"/>
          <w:shd w:val="clear" w:color="auto" w:fill="FFFFFF"/>
          <w:lang w:eastAsia="zh-CN"/>
        </w:rPr>
        <w:t>，</w:t>
      </w:r>
      <w:r>
        <w:rPr>
          <w:rFonts w:hint="eastAsia" w:ascii="仿宋_GB2312" w:hAnsi="ˎ̥" w:eastAsia="仿宋_GB2312" w:cs="仿宋_GB2312"/>
          <w:sz w:val="32"/>
          <w:szCs w:val="32"/>
          <w:shd w:val="clear" w:color="auto" w:fill="FFFFFF"/>
          <w:lang w:val="en-US" w:eastAsia="zh-CN"/>
        </w:rPr>
        <w:t>导致公务员医疗补助支出减少</w:t>
      </w:r>
      <w:r>
        <w:rPr>
          <w:rFonts w:ascii="仿宋_GB2312" w:hAnsi="ˎ̥" w:eastAsia="仿宋_GB2312" w:cs="仿宋_GB2312"/>
          <w:sz w:val="32"/>
          <w:szCs w:val="32"/>
          <w:shd w:val="clear" w:color="auto" w:fill="FFFFFF"/>
        </w:rPr>
        <w:t>。</w:t>
      </w:r>
      <w:r>
        <w:rPr>
          <w:rFonts w:hint="eastAsia" w:ascii="仿宋_GB2312" w:hAnsi="ˎ̥" w:eastAsia="仿宋_GB2312" w:cs="仿宋_GB2312"/>
          <w:sz w:val="32"/>
          <w:szCs w:val="32"/>
          <w:shd w:val="clear" w:color="auto" w:fill="FFFFFF"/>
          <w:lang w:val="en-US" w:eastAsia="zh-CN"/>
        </w:rPr>
        <w:t>二是年初预算编制口径较大，按照实际发生情况支出。</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3" w:firstLineChars="200"/>
        <w:textAlignment w:val="auto"/>
        <w:rPr>
          <w:rFonts w:ascii="仿宋_GB2312" w:hAnsi="ˎ̥" w:eastAsia="仿宋_GB2312" w:cs="仿宋_GB2312"/>
          <w:b/>
          <w:bCs/>
          <w:sz w:val="32"/>
          <w:szCs w:val="32"/>
          <w:shd w:val="clear" w:color="auto" w:fill="FFFFFF"/>
        </w:rPr>
      </w:pPr>
      <w:r>
        <w:rPr>
          <w:rFonts w:hint="eastAsia" w:ascii="仿宋_GB2312" w:hAnsi="ˎ̥" w:eastAsia="仿宋_GB2312" w:cs="仿宋_GB2312"/>
          <w:b/>
          <w:bCs/>
          <w:sz w:val="32"/>
          <w:szCs w:val="32"/>
          <w:shd w:val="clear" w:color="auto" w:fill="FFFFFF"/>
        </w:rPr>
        <w:t>6</w:t>
      </w:r>
      <w:r>
        <w:rPr>
          <w:rFonts w:ascii="仿宋_GB2312" w:hAnsi="ˎ̥" w:eastAsia="仿宋_GB2312" w:cs="仿宋_GB2312"/>
          <w:b/>
          <w:bCs/>
          <w:sz w:val="32"/>
          <w:szCs w:val="32"/>
          <w:shd w:val="clear" w:color="auto" w:fill="FFFFFF"/>
        </w:rPr>
        <w:t>.住房保障支出（类）住房改革支出（款）住房公积金（项）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年初预算为</w:t>
      </w:r>
      <w:r>
        <w:rPr>
          <w:rFonts w:hint="eastAsia" w:ascii="仿宋_GB2312" w:hAnsi="ˎ̥" w:eastAsia="仿宋_GB2312" w:cs="仿宋_GB2312"/>
          <w:sz w:val="32"/>
          <w:szCs w:val="32"/>
          <w:shd w:val="clear" w:color="auto" w:fill="FFFFFF"/>
        </w:rPr>
        <w:t>35.39</w:t>
      </w:r>
      <w:r>
        <w:rPr>
          <w:rFonts w:ascii="仿宋_GB2312" w:hAnsi="ˎ̥" w:eastAsia="仿宋_GB2312" w:cs="仿宋_GB2312"/>
          <w:sz w:val="32"/>
          <w:szCs w:val="32"/>
          <w:shd w:val="clear" w:color="auto" w:fill="FFFFFF"/>
        </w:rPr>
        <w:t>万元，支出决算为</w:t>
      </w:r>
      <w:r>
        <w:rPr>
          <w:rFonts w:hint="eastAsia" w:ascii="仿宋_GB2312" w:hAnsi="ˎ̥" w:eastAsia="仿宋_GB2312" w:cs="仿宋_GB2312"/>
          <w:sz w:val="32"/>
          <w:szCs w:val="32"/>
          <w:shd w:val="clear" w:color="auto" w:fill="FFFFFF"/>
        </w:rPr>
        <w:t>43.27</w:t>
      </w:r>
      <w:r>
        <w:rPr>
          <w:rFonts w:ascii="仿宋_GB2312" w:hAnsi="ˎ̥" w:eastAsia="仿宋_GB2312" w:cs="仿宋_GB2312"/>
          <w:sz w:val="32"/>
          <w:szCs w:val="32"/>
          <w:shd w:val="clear" w:color="auto" w:fill="FFFFFF"/>
        </w:rPr>
        <w:t>万元，完成年初预算的</w:t>
      </w:r>
      <w:r>
        <w:rPr>
          <w:rFonts w:hint="eastAsia" w:ascii="仿宋_GB2312" w:hAnsi="ˎ̥" w:eastAsia="仿宋_GB2312" w:cs="仿宋_GB2312"/>
          <w:sz w:val="32"/>
          <w:szCs w:val="32"/>
          <w:shd w:val="clear" w:color="auto" w:fill="FFFFFF"/>
        </w:rPr>
        <w:t>122.27</w:t>
      </w:r>
      <w:r>
        <w:rPr>
          <w:rFonts w:ascii="仿宋_GB2312" w:hAnsi="ˎ̥" w:eastAsia="仿宋_GB2312" w:cs="仿宋_GB2312"/>
          <w:sz w:val="32"/>
          <w:szCs w:val="32"/>
          <w:shd w:val="clear" w:color="auto" w:fill="FFFFFF"/>
        </w:rPr>
        <w:t>%。决算数</w:t>
      </w:r>
      <w:r>
        <w:rPr>
          <w:rFonts w:hint="eastAsia" w:ascii="仿宋_GB2312" w:hAnsi="ˎ̥" w:eastAsia="仿宋_GB2312" w:cs="仿宋_GB2312"/>
          <w:sz w:val="32"/>
          <w:szCs w:val="32"/>
          <w:shd w:val="clear" w:color="auto" w:fill="FFFFFF"/>
        </w:rPr>
        <w:t>大于</w:t>
      </w:r>
      <w:r>
        <w:rPr>
          <w:rFonts w:ascii="仿宋_GB2312" w:hAnsi="ˎ̥" w:eastAsia="仿宋_GB2312" w:cs="仿宋_GB2312"/>
          <w:sz w:val="32"/>
          <w:szCs w:val="32"/>
          <w:shd w:val="clear" w:color="auto" w:fill="FFFFFF"/>
        </w:rPr>
        <w:t>预算数的主要原因：</w:t>
      </w:r>
      <w:r>
        <w:rPr>
          <w:rFonts w:hint="eastAsia" w:ascii="仿宋_GB2312" w:hAnsi="ˎ̥" w:eastAsia="仿宋_GB2312" w:cs="仿宋_GB2312"/>
          <w:sz w:val="32"/>
          <w:szCs w:val="32"/>
          <w:shd w:val="clear" w:color="auto" w:fill="FFFFFF"/>
          <w:lang w:val="en-US" w:eastAsia="zh-CN"/>
        </w:rPr>
        <w:t>部分人员住房公积金基数进行了调整，导致支出大于年初预算编制，年中进行了追加</w:t>
      </w:r>
      <w:r>
        <w:rPr>
          <w:rFonts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（注：本部分支出决算数字可取自财决公开05表，年初预算数可取自各部门（单位）年初预算大本，根据各部门（单位）实际支出涉及的支出功能分类项级科目填列）</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sz w:val="32"/>
          <w:szCs w:val="32"/>
          <w:shd w:val="clear" w:color="auto" w:fill="FFFFFF"/>
        </w:rPr>
      </w:pPr>
      <w:r>
        <w:rPr>
          <w:rFonts w:hint="eastAsia" w:ascii="黑体" w:hAnsi="宋体" w:eastAsia="黑体" w:cs="黑体"/>
          <w:bCs/>
          <w:sz w:val="32"/>
          <w:szCs w:val="32"/>
          <w:shd w:val="clear" w:color="auto" w:fill="FFFFFF"/>
        </w:rPr>
        <w:t>六、一般公共预算财政拨款基本支出决算情况说明</w:t>
      </w:r>
    </w:p>
    <w:p>
      <w:pPr>
        <w:keepNext/>
        <w:keepLines w:val="0"/>
        <w:pageBreakBefore w:val="0"/>
        <w:widowControl w:val="0"/>
        <w:tabs>
          <w:tab w:val="center" w:pos="4473"/>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2022年度财政拨款基本支出559.47万元，其中：人员经费550.8万元，主要包括：工资福利支出中的基本工资156.61万元、津贴补贴59.1</w:t>
      </w:r>
      <w:r>
        <w:rPr>
          <w:rFonts w:hint="eastAsia" w:ascii="仿宋_GB2312" w:hAnsi="ˎ̥" w:eastAsia="仿宋_GB2312" w:cs="仿宋_GB2312"/>
          <w:sz w:val="32"/>
          <w:szCs w:val="32"/>
          <w:shd w:val="clear" w:color="auto" w:fill="FFFFFF"/>
          <w:lang w:val="en-US" w:eastAsia="zh-CN"/>
        </w:rPr>
        <w:t>0</w:t>
      </w:r>
      <w:r>
        <w:rPr>
          <w:rFonts w:hint="eastAsia" w:ascii="仿宋_GB2312" w:hAnsi="ˎ̥" w:eastAsia="仿宋_GB2312" w:cs="仿宋_GB2312"/>
          <w:sz w:val="32"/>
          <w:szCs w:val="32"/>
          <w:shd w:val="clear" w:color="auto" w:fill="FFFFFF"/>
        </w:rPr>
        <w:t>万元、绩效工资178.96万元、机关事业单位基本养老保险缴费51.41万元、职工基本医疗保险缴费23.55万元、公务员医疗补助缴费35.52万元、其他社会保障缴费1.73万元、住房公积金43.27万元、其他工资福利支出0.44</w:t>
      </w:r>
      <w:r>
        <w:rPr>
          <w:rFonts w:hint="eastAsia" w:ascii="仿宋_GB2312" w:hAnsi="ˎ̥" w:eastAsia="仿宋_GB2312" w:cs="仿宋_GB2312"/>
          <w:sz w:val="32"/>
          <w:szCs w:val="32"/>
          <w:shd w:val="clear" w:color="auto" w:fill="FFFFFF"/>
          <w:lang w:val="en-US" w:eastAsia="zh-CN"/>
        </w:rPr>
        <w:t>万元</w:t>
      </w:r>
      <w:r>
        <w:rPr>
          <w:rFonts w:hint="eastAsia" w:ascii="仿宋_GB2312" w:hAnsi="ˎ̥" w:eastAsia="仿宋_GB2312" w:cs="仿宋_GB2312"/>
          <w:sz w:val="32"/>
          <w:szCs w:val="32"/>
          <w:shd w:val="clear" w:color="auto" w:fill="FFFFFF"/>
        </w:rPr>
        <w:t>；对个人和家庭的补助中的奖励金0.21万元。公用经费8.67万元，主要包括：商品和服务支出中邮电费4.01万元、工会经费4.67万元、（注：上述数字可取自财决公开06表，各部门（单位）根据实际支出情况，选列相应支出经济分类。）</w:t>
      </w:r>
    </w:p>
    <w:p>
      <w:pPr>
        <w:keepNext/>
        <w:keepLines w:val="0"/>
        <w:pageBreakBefore w:val="0"/>
        <w:widowControl w:val="0"/>
        <w:tabs>
          <w:tab w:val="center" w:pos="4473"/>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七、政府性基金预算财政拨款支出决算情况说明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lang w:eastAsia="zh-CN"/>
        </w:rPr>
        <w:t>（</w:t>
      </w:r>
      <w:r>
        <w:rPr>
          <w:rFonts w:ascii="仿宋_GB2312" w:hAnsi="ˎ̥" w:eastAsia="仿宋_GB2312" w:cs="仿宋_GB2312"/>
          <w:sz w:val="32"/>
          <w:szCs w:val="32"/>
          <w:shd w:val="clear" w:color="auto" w:fill="FFFFFF"/>
        </w:rPr>
        <w:t>一）政府性基金预算财政拨款支出决算总体情况（无）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（二）政府性基金预算财政拨款支出决算结构情况（无）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（三）政府性基金预算财政拨款支出决算具体情况（无）</w:t>
      </w:r>
    </w:p>
    <w:p>
      <w:pPr>
        <w:keepNext/>
        <w:keepLines w:val="0"/>
        <w:pageBreakBefore w:val="0"/>
        <w:widowControl w:val="0"/>
        <w:tabs>
          <w:tab w:val="center" w:pos="4473"/>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（注：根据各部门（单位）实际支出涉及的支出功能分类项级科目填列，本部分2022年决算相关数据取自财决公开07表；2021年决算相关数据取自财决09表《政府性基金预算财政拨款收入支出决算表》）</w:t>
      </w:r>
    </w:p>
    <w:p>
      <w:pPr>
        <w:keepNext/>
        <w:keepLines w:val="0"/>
        <w:pageBreakBefore w:val="0"/>
        <w:widowControl w:val="0"/>
        <w:tabs>
          <w:tab w:val="center" w:pos="4473"/>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八、国有资本经营预算财政拨款支出决算情况说明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（一）国有资本经营预算财政拨款支出决算总体情况（无）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（二）国有资本经营预算财政拨款支出决算结构情况（无）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638" w:leftChars="266" w:firstLine="0" w:firstLineChars="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（三）国有资本经营预算财政拨款支出决算具体情况（无）</w:t>
      </w:r>
    </w:p>
    <w:p>
      <w:pPr>
        <w:keepNext/>
        <w:keepLines w:val="0"/>
        <w:pageBreakBefore w:val="0"/>
        <w:widowControl w:val="0"/>
        <w:tabs>
          <w:tab w:val="center" w:pos="4473"/>
        </w:tabs>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（注：根据各部门（单位）实际支出涉及的支出功能分类项级科目填列，本部分2022年决算相关数据取自财决公开08表）。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楷体_GB2312" w:cs="仿宋_GB2312"/>
          <w:sz w:val="32"/>
          <w:szCs w:val="32"/>
          <w:shd w:val="clear" w:color="auto" w:fill="FFFFFF"/>
        </w:rPr>
      </w:pPr>
      <w:r>
        <w:rPr>
          <w:rFonts w:hint="eastAsia" w:ascii="黑体" w:hAnsi="宋体" w:eastAsia="黑体" w:cs="黑体"/>
          <w:bCs/>
          <w:sz w:val="32"/>
          <w:szCs w:val="32"/>
          <w:shd w:val="clear" w:color="auto" w:fill="FFFFFF"/>
        </w:rPr>
        <w:t>九、财政拨款“三公”经费支出决算情况说明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（一）财政拨款“三公”经费支出决算总体情况说明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（二）财政拨款“三公”经费支出决算具体情况说明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2022年度“三公”经费预算数、决算数可取自附件财决公开09表，2022年的出国团组数、出国人次，公务用车购置数、公务用车保有量，接待团组数、接待人次可取自部门决算报表F03表《机构运行信息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十、预算绩效情况说明。</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color w:val="000000" w:themeColor="text1"/>
          <w:sz w:val="32"/>
          <w:szCs w:val="32"/>
          <w:shd w:val="clear" w:color="auto" w:fill="FFFFFF"/>
          <w14:textFill>
            <w14:solidFill>
              <w14:schemeClr w14:val="tx1"/>
            </w14:solidFill>
          </w14:textFill>
        </w:rPr>
      </w:pPr>
      <w:r>
        <w:rPr>
          <w:rFonts w:hint="eastAsia" w:ascii="楷体" w:hAnsi="楷体" w:eastAsia="楷体" w:cs="楷体"/>
          <w:bCs/>
          <w:color w:val="000000" w:themeColor="text1"/>
          <w:sz w:val="32"/>
          <w:szCs w:val="32"/>
          <w:shd w:val="clear" w:color="auto" w:fill="FFFFFF"/>
          <w14:textFill>
            <w14:solidFill>
              <w14:schemeClr w14:val="tx1"/>
            </w14:solidFill>
          </w14:textFill>
        </w:rPr>
        <w:t>（一）绩效管理工作开展情况</w:t>
      </w:r>
    </w:p>
    <w:p>
      <w:pPr>
        <w:keepNext/>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left"/>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eastAsia="仿宋_GB2312" w:cs="仿宋_GB2312"/>
          <w:color w:val="000000" w:themeColor="text1"/>
          <w:sz w:val="32"/>
          <w:szCs w:val="32"/>
          <w:lang w:val="en-US"/>
          <w14:textFill>
            <w14:solidFill>
              <w14:schemeClr w14:val="tx1"/>
            </w14:solidFill>
          </w14:textFill>
        </w:rPr>
        <w:t>根据财政预算管理要求，我园组织对2022年度一般公共预算项目支出全面开展绩效自评。自评项目</w:t>
      </w: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lang w:val="en-US"/>
          <w14:textFill>
            <w14:solidFill>
              <w14:schemeClr w14:val="tx1"/>
            </w14:solidFill>
          </w14:textFill>
        </w:rPr>
        <w:t>个，共涉及资金250</w:t>
      </w:r>
      <w:r>
        <w:rPr>
          <w:rFonts w:hint="eastAsia" w:asci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eastAsia="仿宋_GB2312" w:cs="仿宋_GB2312"/>
          <w:color w:val="000000" w:themeColor="text1"/>
          <w:sz w:val="32"/>
          <w:szCs w:val="32"/>
          <w:lang w:val="en-US"/>
          <w14:textFill>
            <w14:solidFill>
              <w14:schemeClr w14:val="tx1"/>
            </w14:solidFill>
          </w14:textFill>
        </w:rPr>
        <w:t>2</w:t>
      </w:r>
      <w:r>
        <w:rPr>
          <w:rFonts w:hint="eastAsia" w:asci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eastAsia="仿宋_GB2312" w:cs="仿宋_GB2312"/>
          <w:color w:val="000000" w:themeColor="text1"/>
          <w:sz w:val="32"/>
          <w:szCs w:val="32"/>
          <w:lang w:val="en-US"/>
          <w14:textFill>
            <w14:solidFill>
              <w14:schemeClr w14:val="tx1"/>
            </w14:solidFill>
          </w14:textFill>
        </w:rPr>
        <w:t>万元，占一般公共预算项目支出总额的58</w:t>
      </w:r>
      <w:r>
        <w:rPr>
          <w:rFonts w:hint="eastAsia" w:asci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eastAsia="仿宋_GB2312" w:cs="仿宋_GB2312"/>
          <w:color w:val="000000" w:themeColor="text1"/>
          <w:sz w:val="32"/>
          <w:szCs w:val="32"/>
          <w:lang w:val="en-US"/>
          <w14:textFill>
            <w14:solidFill>
              <w14:schemeClr w14:val="tx1"/>
            </w14:solidFill>
          </w14:textFill>
        </w:rPr>
        <w:t>9</w:t>
      </w: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eastAsia="仿宋_GB2312" w:cs="仿宋_GB2312"/>
          <w:color w:val="000000" w:themeColor="text1"/>
          <w:sz w:val="32"/>
          <w:szCs w:val="32"/>
          <w:lang w:val="en-US"/>
          <w14:textFill>
            <w14:solidFill>
              <w14:schemeClr w14:val="tx1"/>
            </w14:solidFill>
          </w14:textFill>
        </w:rPr>
        <w:t>%。</w:t>
      </w:r>
    </w:p>
    <w:p>
      <w:pPr>
        <w:keepNext/>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left"/>
        <w:textAlignment w:val="auto"/>
        <w:rPr>
          <w:rFonts w:hint="default"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bidi="ar"/>
          <w14:textFill>
            <w14:solidFill>
              <w14:schemeClr w14:val="tx1"/>
            </w14:solidFill>
          </w14:textFill>
        </w:rPr>
        <w:t>我园</w:t>
      </w:r>
      <w:r>
        <w:rPr>
          <w:rFonts w:hint="eastAsia" w:ascii="仿宋_GB2312" w:eastAsia="仿宋_GB2312" w:cs="仿宋_GB2312"/>
          <w:color w:val="000000" w:themeColor="text1"/>
          <w:sz w:val="32"/>
          <w:szCs w:val="32"/>
          <w:lang w:bidi="ar"/>
          <w14:textFill>
            <w14:solidFill>
              <w14:schemeClr w14:val="tx1"/>
            </w14:solidFill>
          </w14:textFill>
        </w:rPr>
        <w:t>组织对</w:t>
      </w:r>
      <w:r>
        <w:rPr>
          <w:rFonts w:hint="eastAsia" w:ascii="仿宋_GB2312" w:eastAsia="仿宋_GB2312" w:cs="仿宋_GB2312"/>
          <w:color w:val="000000" w:themeColor="text1"/>
          <w:sz w:val="32"/>
          <w:szCs w:val="32"/>
          <w:lang w:val="en-US" w:bidi="ar"/>
          <w14:textFill>
            <w14:solidFill>
              <w14:schemeClr w14:val="tx1"/>
            </w14:solidFill>
          </w14:textFill>
        </w:rPr>
        <w:t>2022</w:t>
      </w:r>
      <w:r>
        <w:rPr>
          <w:rFonts w:hint="eastAsia" w:ascii="仿宋_GB2312" w:eastAsia="仿宋_GB2312" w:cs="仿宋_GB2312"/>
          <w:color w:val="000000" w:themeColor="text1"/>
          <w:sz w:val="32"/>
          <w:szCs w:val="32"/>
          <w:lang w:bidi="ar"/>
          <w14:textFill>
            <w14:solidFill>
              <w14:schemeClr w14:val="tx1"/>
            </w14:solidFill>
          </w14:textFill>
        </w:rPr>
        <w:t>年度</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14:textFill>
            <w14:solidFill>
              <w14:schemeClr w14:val="tx1"/>
            </w14:solidFill>
          </w14:textFill>
        </w:rPr>
        <w:t>46902122T000000662296-公办幼儿园保教费</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个项目开展了部门评价，</w:t>
      </w:r>
      <w:r>
        <w:rPr>
          <w:rFonts w:hint="eastAsia" w:ascii="仿宋_GB2312" w:eastAsia="仿宋_GB2312" w:cs="仿宋_GB2312"/>
          <w:color w:val="000000" w:themeColor="text1"/>
          <w:sz w:val="32"/>
          <w:szCs w:val="32"/>
          <w:lang w:bidi="ar"/>
          <w14:textFill>
            <w14:solidFill>
              <w14:schemeClr w14:val="tx1"/>
            </w14:solidFill>
          </w14:textFill>
        </w:rPr>
        <w:t>涉及一般公共预算支出</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250</w:t>
      </w:r>
      <w:r>
        <w:rPr>
          <w:rFonts w:hint="eastAsia" w:ascii="仿宋_GB2312" w:hAnsi="宋体"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宋体"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eastAsia="仿宋_GB2312" w:cs="仿宋_GB2312"/>
          <w:color w:val="000000" w:themeColor="text1"/>
          <w:sz w:val="32"/>
          <w:szCs w:val="32"/>
          <w:lang w:bidi="ar"/>
          <w14:textFill>
            <w14:solidFill>
              <w14:schemeClr w14:val="tx1"/>
            </w14:solidFill>
          </w14:textFill>
        </w:rPr>
        <w:t>万元。</w:t>
      </w:r>
      <w:r>
        <w:rPr>
          <w:rFonts w:hint="eastAsia" w:ascii="仿宋_GB2312" w:eastAsia="仿宋_GB2312" w:cs="仿宋_GB2312"/>
          <w:color w:val="000000" w:themeColor="text1"/>
          <w:sz w:val="32"/>
          <w:szCs w:val="32"/>
          <w14:textFill>
            <w14:solidFill>
              <w14:schemeClr w14:val="tx1"/>
            </w14:solidFill>
          </w14:textFill>
        </w:rPr>
        <w:t>从评价情况来看，</w:t>
      </w:r>
      <w:r>
        <w:rPr>
          <w:rFonts w:hint="eastAsia" w:ascii="仿宋_GB2312" w:eastAsia="仿宋_GB2312" w:cs="仿宋_GB2312"/>
          <w:color w:val="000000" w:themeColor="text1"/>
          <w:sz w:val="32"/>
          <w:szCs w:val="32"/>
          <w:lang w:val="en-US" w:eastAsia="zh-CN"/>
          <w14:textFill>
            <w14:solidFill>
              <w14:schemeClr w14:val="tx1"/>
            </w14:solidFill>
          </w14:textFill>
        </w:rPr>
        <w:t>较好的保障了园区的正常运转</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未存在问题。</w:t>
      </w:r>
    </w:p>
    <w:p>
      <w:pPr>
        <w:pStyle w:val="17"/>
        <w:keepNext/>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firstLine="640" w:firstLineChars="200"/>
        <w:textAlignment w:val="auto"/>
        <w:rPr>
          <w:rFonts w:hint="eastAsia" w:ascii="仿宋_GB2312" w:eastAsia="仿宋_GB2312" w:cs="仿宋_GB2312" w:hAnsiTheme="minorEastAsia"/>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hAnsiTheme="minorEastAsia"/>
          <w:color w:val="000000" w:themeColor="text1"/>
          <w:kern w:val="0"/>
          <w:sz w:val="32"/>
          <w:szCs w:val="32"/>
          <w:lang w:val="en-US" w:eastAsia="zh-CN" w:bidi="ar"/>
          <w14:textFill>
            <w14:solidFill>
              <w14:schemeClr w14:val="tx1"/>
            </w14:solidFill>
          </w14:textFill>
        </w:rPr>
        <w:t>我单位非一级预算单位，按工作要求今年不需开展2022年度部门整体支出绩效评价。</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color w:val="000000" w:themeColor="text1"/>
          <w:sz w:val="32"/>
          <w:szCs w:val="32"/>
          <w:shd w:val="clear" w:color="auto" w:fill="FFFFFF"/>
          <w14:textFill>
            <w14:solidFill>
              <w14:schemeClr w14:val="tx1"/>
            </w14:solidFill>
          </w14:textFill>
        </w:rPr>
      </w:pPr>
      <w:r>
        <w:rPr>
          <w:rFonts w:hint="eastAsia" w:ascii="楷体" w:hAnsi="楷体" w:eastAsia="楷体" w:cs="楷体"/>
          <w:bCs/>
          <w:color w:val="000000" w:themeColor="text1"/>
          <w:sz w:val="32"/>
          <w:szCs w:val="32"/>
          <w:shd w:val="clear" w:color="auto" w:fill="FFFFFF"/>
          <w14:textFill>
            <w14:solidFill>
              <w14:schemeClr w14:val="tx1"/>
            </w14:solidFill>
          </w14:textFill>
        </w:rPr>
        <w:t>（二）部门决算中项目绩效自评结果</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eastAsia="仿宋_GB2312" w:cs="仿宋_GB2312"/>
          <w:color w:val="000000" w:themeColor="text1"/>
          <w:sz w:val="32"/>
          <w:szCs w:val="32"/>
          <w:shd w:val="clear" w:color="auto" w:fill="FFFFFF"/>
          <w14:textFill>
            <w14:solidFill>
              <w14:schemeClr w14:val="tx1"/>
            </w14:solidFill>
          </w14:textFill>
        </w:rPr>
        <w:t>我部门（单位）在部门决算中</w:t>
      </w:r>
      <w:r>
        <w:rPr>
          <w:rFonts w:hint="eastAsia" w:ascii="仿宋_GB2312" w:eastAsia="仿宋_GB2312" w:cs="仿宋_GB2312"/>
          <w:sz w:val="32"/>
          <w:szCs w:val="32"/>
        </w:rPr>
        <w:t>反映</w:t>
      </w:r>
      <w:r>
        <w:rPr>
          <w:rFonts w:hint="eastAsia" w:ascii="仿宋_GB2312" w:eastAsia="仿宋_GB2312" w:cs="仿宋_GB2312"/>
          <w:color w:val="000000" w:themeColor="text1"/>
          <w:sz w:val="32"/>
          <w:szCs w:val="32"/>
          <w:lang w:val="en-US"/>
          <w14:textFill>
            <w14:solidFill>
              <w14:schemeClr w14:val="tx1"/>
            </w14:solidFill>
          </w14:textFill>
        </w:rPr>
        <w:t>公办幼儿园保教费</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eastAsia="仿宋_GB2312" w:cs="仿宋_GB2312"/>
          <w:color w:val="000000" w:themeColor="text1"/>
          <w:sz w:val="32"/>
          <w:szCs w:val="32"/>
          <w:shd w:val="clear" w:color="auto" w:fill="FFFFFF"/>
          <w14:textFill>
            <w14:solidFill>
              <w14:schemeClr w14:val="tx1"/>
            </w14:solidFill>
          </w14:textFill>
        </w:rPr>
        <w:t>个项目绩效自评结果（包括项目绩效自评表和项目绩效自评报告）。</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eastAsia="仿宋_GB2312" w:cs="仿宋_GB2312"/>
          <w:color w:val="000000" w:themeColor="text1"/>
          <w:sz w:val="32"/>
          <w:szCs w:val="32"/>
          <w:lang w:val="en-US"/>
          <w14:textFill>
            <w14:solidFill>
              <w14:schemeClr w14:val="tx1"/>
            </w14:solidFill>
          </w14:textFill>
        </w:rPr>
        <w:t>公办幼儿园保教费</w:t>
      </w:r>
      <w:r>
        <w:rPr>
          <w:rFonts w:hint="eastAsia" w:ascii="仿宋_GB2312" w:eastAsia="仿宋_GB2312" w:cs="仿宋_GB2312"/>
          <w:color w:val="000000" w:themeColor="text1"/>
          <w:sz w:val="32"/>
          <w:szCs w:val="32"/>
          <w:shd w:val="clear" w:color="auto" w:fill="FFFFFF"/>
          <w14:textFill>
            <w14:solidFill>
              <w14:schemeClr w14:val="tx1"/>
            </w14:solidFill>
          </w14:textFill>
        </w:rPr>
        <w:t>项目绩效自评表：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eastAsia="仿宋_GB2312" w:cs="仿宋_GB2312"/>
          <w:color w:val="000000" w:themeColor="text1"/>
          <w:sz w:val="32"/>
          <w:szCs w:val="32"/>
          <w:lang w:val="en-US"/>
          <w14:textFill>
            <w14:solidFill>
              <w14:schemeClr w14:val="tx1"/>
            </w14:solidFill>
          </w14:textFill>
        </w:rPr>
        <w:t>公办幼儿园保教费</w:t>
      </w:r>
      <w:r>
        <w:rPr>
          <w:rFonts w:hint="eastAsia" w:ascii="仿宋_GB2312" w:eastAsia="仿宋_GB2312" w:cs="仿宋_GB2312"/>
          <w:color w:val="000000" w:themeColor="text1"/>
          <w:sz w:val="32"/>
          <w:szCs w:val="32"/>
          <w:shd w:val="clear" w:color="auto" w:fill="FFFFFF"/>
          <w14:textFill>
            <w14:solidFill>
              <w14:schemeClr w14:val="tx1"/>
            </w14:solidFill>
          </w14:textFill>
        </w:rPr>
        <w:t>项目绩效自评报告：根据年初设定的绩效目标，项目绩效自评得分为</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97.63</w:t>
      </w:r>
      <w:r>
        <w:rPr>
          <w:rFonts w:hint="eastAsia" w:ascii="仿宋_GB2312" w:eastAsia="仿宋_GB2312" w:cs="仿宋_GB2312"/>
          <w:color w:val="000000" w:themeColor="text1"/>
          <w:sz w:val="32"/>
          <w:szCs w:val="32"/>
          <w:shd w:val="clear" w:color="auto" w:fill="FFFFFF"/>
          <w14:textFill>
            <w14:solidFill>
              <w14:schemeClr w14:val="tx1"/>
            </w14:solidFill>
          </w14:textFill>
        </w:rPr>
        <w:t>分。全年预算数为250</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eastAsia="仿宋_GB2312" w:cs="仿宋_GB2312"/>
          <w:color w:val="000000" w:themeColor="text1"/>
          <w:sz w:val="32"/>
          <w:szCs w:val="32"/>
          <w:shd w:val="clear" w:color="auto" w:fill="FFFFFF"/>
          <w14:textFill>
            <w14:solidFill>
              <w14:schemeClr w14:val="tx1"/>
            </w14:solidFill>
          </w14:textFill>
        </w:rPr>
        <w:t>万元，执行数为250</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eastAsia="仿宋_GB2312" w:cs="仿宋_GB2312"/>
          <w:color w:val="000000" w:themeColor="text1"/>
          <w:sz w:val="32"/>
          <w:szCs w:val="32"/>
          <w:shd w:val="clear" w:color="auto" w:fill="FFFFFF"/>
          <w14:textFill>
            <w14:solidFill>
              <w14:schemeClr w14:val="tx1"/>
            </w14:solidFill>
          </w14:textFill>
        </w:rPr>
        <w:t>万元，完成预算的</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100</w:t>
      </w:r>
      <w:r>
        <w:rPr>
          <w:rFonts w:hint="eastAsia" w:ascii="仿宋_GB2312" w:eastAsia="仿宋_GB2312" w:cs="仿宋_GB2312"/>
          <w:color w:val="000000" w:themeColor="text1"/>
          <w:sz w:val="32"/>
          <w:szCs w:val="32"/>
          <w:shd w:val="clear" w:color="auto" w:fill="FFFFFF"/>
          <w14:textFill>
            <w14:solidFill>
              <w14:schemeClr w14:val="tx1"/>
            </w14:solidFill>
          </w14:textFill>
        </w:rPr>
        <w:t>%。项目绩效目标完成情况：</w:t>
      </w:r>
      <w:r>
        <w:rPr>
          <w:rFonts w:hint="eastAsia" w:ascii="仿宋_GB2312" w:eastAsia="仿宋_GB2312" w:cs="仿宋_GB2312"/>
          <w:color w:val="000000" w:themeColor="text1"/>
          <w:sz w:val="32"/>
          <w:szCs w:val="32"/>
          <w:lang w:val="en-US" w:eastAsia="zh-CN"/>
          <w14:textFill>
            <w14:solidFill>
              <w14:schemeClr w14:val="tx1"/>
            </w14:solidFill>
          </w14:textFill>
        </w:rPr>
        <w:t>一是保障幼师工资每月正常发放，二是幼儿保育保教满意率100%</w:t>
      </w:r>
      <w:r>
        <w:rPr>
          <w:rFonts w:hint="eastAsia" w:asci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eastAsia="仿宋_GB2312" w:cs="仿宋_GB2312"/>
          <w:color w:val="000000" w:themeColor="text1"/>
          <w:sz w:val="32"/>
          <w:szCs w:val="32"/>
          <w:shd w:val="clear" w:color="auto" w:fill="FFFFFF"/>
          <w:lang w:val="en-US" w:eastAsia="zh-CN"/>
          <w14:textFill>
            <w14:solidFill>
              <w14:schemeClr w14:val="tx1"/>
            </w14:solidFill>
          </w14:textFill>
        </w:rPr>
        <w:t>未存在问题</w:t>
      </w:r>
      <w:r>
        <w:rPr>
          <w:rFonts w:hint="eastAsia" w:ascii="仿宋_GB2312" w:eastAsia="仿宋_GB2312" w:cs="仿宋_GB2312"/>
          <w:color w:val="000000" w:themeColor="text1"/>
          <w:sz w:val="32"/>
          <w:szCs w:val="32"/>
          <w:shd w:val="clear" w:color="auto" w:fill="FFFFFF"/>
          <w14:textFill>
            <w14:solidFill>
              <w14:schemeClr w14:val="tx1"/>
            </w14:solidFill>
          </w14:textFill>
        </w:rPr>
        <w:t>。</w:t>
      </w:r>
    </w:p>
    <w:p>
      <w:pPr>
        <w:keepNext/>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楷体" w:hAnsi="楷体" w:eastAsia="楷体" w:cs="楷体"/>
          <w:bCs/>
          <w:color w:val="000000" w:themeColor="text1"/>
          <w:sz w:val="32"/>
          <w:szCs w:val="32"/>
          <w:shd w:val="clear" w:color="auto" w:fill="FFFFFF"/>
          <w14:textFill>
            <w14:solidFill>
              <w14:schemeClr w14:val="tx1"/>
            </w14:solidFill>
          </w14:textFill>
        </w:rPr>
      </w:pPr>
      <w:r>
        <w:rPr>
          <w:rFonts w:hint="eastAsia" w:ascii="楷体" w:hAnsi="楷体" w:eastAsia="楷体" w:cs="楷体"/>
          <w:bCs/>
          <w:color w:val="000000" w:themeColor="text1"/>
          <w:sz w:val="32"/>
          <w:szCs w:val="32"/>
          <w:shd w:val="clear" w:color="auto" w:fill="FFFFFF"/>
          <w14:textFill>
            <w14:solidFill>
              <w14:schemeClr w14:val="tx1"/>
            </w14:solidFill>
          </w14:textFill>
        </w:rPr>
        <w:t>部门评价结果</w:t>
      </w:r>
    </w:p>
    <w:p>
      <w:pPr>
        <w:keepNext/>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color w:val="000000" w:themeColor="text1"/>
          <w:sz w:val="32"/>
          <w:szCs w:val="32"/>
          <w:shd w:val="clear" w:color="auto" w:fill="FFFFFF"/>
          <w14:textFill>
            <w14:solidFill>
              <w14:schemeClr w14:val="tx1"/>
            </w14:solidFill>
          </w14:textFill>
        </w:rPr>
      </w:pPr>
      <w:r>
        <w:rPr>
          <w:rFonts w:hint="eastAsia" w:ascii="楷体" w:hAnsi="楷体" w:eastAsia="楷体" w:cs="楷体"/>
          <w:bCs/>
          <w:color w:val="000000" w:themeColor="text1"/>
          <w:sz w:val="32"/>
          <w:szCs w:val="32"/>
          <w:shd w:val="clear" w:color="auto" w:fill="FFFFFF"/>
          <w14:textFill>
            <w14:solidFill>
              <w14:schemeClr w14:val="tx1"/>
            </w14:solidFill>
          </w14:textFill>
        </w:rPr>
        <w:t>（无）</w:t>
      </w:r>
    </w:p>
    <w:p>
      <w:pPr>
        <w:keepNext/>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eastAsia" w:ascii="楷体" w:hAnsi="楷体" w:eastAsia="楷体" w:cs="楷体"/>
          <w:bCs/>
          <w:color w:val="000000" w:themeColor="text1"/>
          <w:sz w:val="32"/>
          <w:szCs w:val="32"/>
          <w:shd w:val="clear" w:color="auto" w:fill="FFFFFF"/>
          <w14:textFill>
            <w14:solidFill>
              <w14:schemeClr w14:val="tx1"/>
            </w14:solidFill>
          </w14:textFill>
        </w:rPr>
      </w:pPr>
      <w:r>
        <w:rPr>
          <w:rFonts w:hint="eastAsia" w:ascii="楷体" w:hAnsi="楷体" w:eastAsia="楷体" w:cs="楷体"/>
          <w:bCs/>
          <w:color w:val="000000" w:themeColor="text1"/>
          <w:sz w:val="32"/>
          <w:szCs w:val="32"/>
          <w:shd w:val="clear" w:color="auto" w:fill="FFFFFF"/>
          <w14:textFill>
            <w14:solidFill>
              <w14:schemeClr w14:val="tx1"/>
            </w14:solidFill>
          </w14:textFill>
        </w:rPr>
        <w:t>财政评价结果</w:t>
      </w:r>
    </w:p>
    <w:p>
      <w:pPr>
        <w:keepNext/>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color w:val="000000" w:themeColor="text1"/>
          <w:sz w:val="32"/>
          <w:szCs w:val="32"/>
          <w:shd w:val="clear" w:color="auto" w:fill="FFFFFF"/>
          <w14:textFill>
            <w14:solidFill>
              <w14:schemeClr w14:val="tx1"/>
            </w14:solidFill>
          </w14:textFill>
        </w:rPr>
      </w:pPr>
      <w:r>
        <w:rPr>
          <w:rFonts w:hint="eastAsia" w:ascii="楷体" w:hAnsi="楷体" w:eastAsia="楷体" w:cs="楷体"/>
          <w:bCs/>
          <w:color w:val="000000" w:themeColor="text1"/>
          <w:sz w:val="32"/>
          <w:szCs w:val="32"/>
          <w:shd w:val="clear" w:color="auto" w:fill="FFFFFF"/>
          <w14:textFill>
            <w14:solidFill>
              <w14:schemeClr w14:val="tx1"/>
            </w14:solidFill>
          </w14:textFill>
        </w:rPr>
        <w:t>（无）</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十一、其他重要事项情况说明</w:t>
      </w:r>
    </w:p>
    <w:p>
      <w:pPr>
        <w:pStyle w:val="16"/>
        <w:keepNext/>
        <w:keepLines w:val="0"/>
        <w:pageBreakBefore w:val="0"/>
        <w:widowControl w:val="0"/>
        <w:numPr>
          <w:ilvl w:val="0"/>
          <w:numId w:val="5"/>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sz w:val="32"/>
          <w:szCs w:val="32"/>
          <w:shd w:val="clear" w:color="auto" w:fill="FFFFFF"/>
        </w:rPr>
      </w:pPr>
      <w:bookmarkStart w:id="95" w:name="_Toc23598_WPSOffice_Level2"/>
      <w:bookmarkStart w:id="96" w:name="_Toc15565_WPSOffice_Level2"/>
      <w:bookmarkStart w:id="97" w:name="_Toc32639_WPSOffice_Level2"/>
      <w:bookmarkStart w:id="98" w:name="_Toc15262_WPSOffice_Level2"/>
      <w:bookmarkStart w:id="99" w:name="_Toc5978_WPSOffice_Level2"/>
      <w:bookmarkStart w:id="100" w:name="_Toc18325_WPSOffice_Level2"/>
      <w:r>
        <w:rPr>
          <w:rFonts w:hint="eastAsia" w:ascii="楷体" w:hAnsi="楷体" w:eastAsia="楷体" w:cs="楷体"/>
          <w:bCs/>
          <w:sz w:val="32"/>
          <w:szCs w:val="32"/>
          <w:shd w:val="clear" w:color="auto" w:fill="FFFFFF"/>
        </w:rPr>
        <w:t>机关运行经费支出情况</w:t>
      </w:r>
      <w:bookmarkEnd w:id="95"/>
      <w:bookmarkEnd w:id="96"/>
      <w:bookmarkEnd w:id="97"/>
      <w:bookmarkEnd w:id="98"/>
      <w:bookmarkEnd w:id="99"/>
      <w:bookmarkEnd w:id="100"/>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本单位属于事业单位，没有机关运行经费</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机关运行经费预算数字可取自部门决算报表财决01-1表《财政拨款收入支出决算总表》，年初预算数-一般公共预算财政拨款-公用经费，注意部门汇总公开决算时，因事业单位没有机关运行经费支出，故部门汇总的机关运行经费预算数应为部门所属的各行政单位或参公单位的汇总数；决算数字可取自2022年度部门决算报表F03表《机构运行信息表》“机关运行经费”栏。）</w:t>
      </w:r>
    </w:p>
    <w:p>
      <w:pPr>
        <w:pStyle w:val="16"/>
        <w:keepNext/>
        <w:keepLines w:val="0"/>
        <w:pageBreakBefore w:val="0"/>
        <w:widowControl w:val="0"/>
        <w:numPr>
          <w:ilvl w:val="0"/>
          <w:numId w:val="5"/>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sz w:val="32"/>
          <w:szCs w:val="32"/>
          <w:shd w:val="clear" w:color="auto" w:fill="FFFFFF"/>
        </w:rPr>
      </w:pPr>
      <w:bookmarkStart w:id="101" w:name="_Toc30383_WPSOffice_Level2"/>
      <w:bookmarkStart w:id="102" w:name="_Toc23966_WPSOffice_Level2"/>
      <w:bookmarkStart w:id="103" w:name="_Toc13084_WPSOffice_Level2"/>
      <w:bookmarkStart w:id="104" w:name="_Toc25333_WPSOffice_Level2"/>
      <w:bookmarkStart w:id="105" w:name="_Toc32689_WPSOffice_Level2"/>
      <w:bookmarkStart w:id="106" w:name="_Toc3131_WPSOffice_Level2"/>
      <w:r>
        <w:rPr>
          <w:rFonts w:hint="eastAsia" w:ascii="楷体" w:hAnsi="楷体" w:eastAsia="楷体" w:cs="楷体"/>
          <w:bCs/>
          <w:sz w:val="32"/>
          <w:szCs w:val="32"/>
          <w:shd w:val="clear" w:color="auto" w:fill="FFFFFF"/>
        </w:rPr>
        <w:t>政府采购支出情况</w:t>
      </w:r>
      <w:bookmarkEnd w:id="101"/>
      <w:bookmarkEnd w:id="102"/>
      <w:bookmarkEnd w:id="103"/>
      <w:bookmarkEnd w:id="104"/>
      <w:bookmarkEnd w:id="105"/>
      <w:bookmarkEnd w:id="106"/>
    </w:p>
    <w:p>
      <w:pPr>
        <w:keepNext/>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left"/>
        <w:textAlignment w:val="auto"/>
        <w:rPr>
          <w:rFonts w:hint="default"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本单位2022年度政府采购支出总额0万元。</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（注：上述政府采购支出相关数字取自2022年度部门决算报表F03表《机构运行信息表》，授予中小企业和小微企业合同金额由各部门查阅本部门相关资料填写。）</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楷体" w:hAnsi="楷体" w:eastAsia="楷体" w:cs="楷体"/>
          <w:bCs/>
          <w:sz w:val="32"/>
          <w:szCs w:val="32"/>
          <w:shd w:val="clear" w:color="auto" w:fill="FFFFFF"/>
        </w:rPr>
      </w:pPr>
      <w:bookmarkStart w:id="107" w:name="_Toc29584_WPSOffice_Level2"/>
      <w:bookmarkStart w:id="108" w:name="_Toc15129_WPSOffice_Level2"/>
      <w:bookmarkStart w:id="109" w:name="_Toc527_WPSOffice_Level2"/>
      <w:bookmarkStart w:id="110" w:name="_Toc19989_WPSOffice_Level2"/>
      <w:bookmarkStart w:id="111" w:name="_Toc6016_WPSOffice_Level2"/>
      <w:bookmarkStart w:id="112" w:name="_Toc10902_WPSOffice_Level2"/>
      <w:r>
        <w:rPr>
          <w:rFonts w:hint="eastAsia" w:ascii="楷体" w:hAnsi="楷体" w:eastAsia="楷体" w:cs="楷体"/>
          <w:bCs/>
          <w:sz w:val="32"/>
          <w:szCs w:val="32"/>
          <w:shd w:val="clear" w:color="auto" w:fill="FFFFFF"/>
        </w:rPr>
        <w:t>（三）国有资产占用情况</w:t>
      </w:r>
      <w:bookmarkEnd w:id="107"/>
      <w:bookmarkEnd w:id="108"/>
      <w:bookmarkEnd w:id="109"/>
      <w:bookmarkEnd w:id="110"/>
      <w:bookmarkEnd w:id="111"/>
      <w:bookmarkEnd w:id="112"/>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bCs/>
          <w:sz w:val="32"/>
          <w:szCs w:val="32"/>
          <w:shd w:val="clear" w:color="auto" w:fill="FFFFFF"/>
        </w:rPr>
        <w:t>截至2022年12月31日，本部门拥有</w:t>
      </w:r>
      <w:r>
        <w:rPr>
          <w:rFonts w:hint="eastAsia" w:ascii="仿宋_GB2312" w:hAnsi="ˎ̥" w:eastAsia="仿宋_GB2312" w:cs="仿宋_GB2312"/>
          <w:sz w:val="32"/>
          <w:szCs w:val="32"/>
          <w:shd w:val="clear" w:color="auto" w:fill="FFFFFF"/>
        </w:rPr>
        <w:t>房屋面积</w:t>
      </w:r>
      <w:r>
        <w:rPr>
          <w:rFonts w:hint="eastAsia" w:ascii="仿宋_GB2312" w:hAnsi="ˎ̥" w:eastAsia="仿宋_GB2312" w:cs="仿宋_GB2312"/>
          <w:sz w:val="32"/>
          <w:szCs w:val="32"/>
          <w:shd w:val="clear" w:color="auto" w:fill="FFFFFF"/>
          <w:lang w:val="en-US" w:eastAsia="zh-CN"/>
        </w:rPr>
        <w:t>3005</w:t>
      </w:r>
      <w:r>
        <w:rPr>
          <w:rFonts w:hint="eastAsia" w:ascii="仿宋_GB2312" w:hAnsi="ˎ̥" w:eastAsia="仿宋_GB2312" w:cs="仿宋_GB2312"/>
          <w:sz w:val="32"/>
          <w:szCs w:val="32"/>
          <w:shd w:val="clear" w:color="auto" w:fill="FFFFFF"/>
        </w:rPr>
        <w:t>平方米，其中：办公用房3005平方米，业务用房0.00平方米，其他（不含构筑物）0.00平方米。</w:t>
      </w:r>
    </w:p>
    <w:p>
      <w:pPr>
        <w:keepNext/>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left="0" w:leftChars="0" w:right="0" w:firstLine="640" w:firstLineChars="200"/>
        <w:textAlignment w:val="auto"/>
        <w:rPr>
          <w:rFonts w:hint="eastAsia" w:ascii="仿宋_GB2312" w:hAnsi="ˎ̥" w:eastAsia="仿宋_GB2312" w:cs="仿宋_GB2312"/>
          <w:sz w:val="32"/>
          <w:szCs w:val="32"/>
          <w:lang w:val="en-US"/>
        </w:rPr>
      </w:pPr>
      <w:r>
        <w:rPr>
          <w:rFonts w:hint="eastAsia" w:ascii="仿宋_GB2312" w:hAnsi="ˎ̥" w:eastAsia="仿宋_GB2312" w:cs="仿宋_GB2312"/>
          <w:sz w:val="32"/>
          <w:szCs w:val="32"/>
        </w:rPr>
        <w:t>本部门共有车辆</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rPr>
        <w:t>辆，单价</w:t>
      </w:r>
      <w:r>
        <w:rPr>
          <w:rFonts w:hint="eastAsia" w:ascii="仿宋_GB2312" w:hAnsi="ˎ̥" w:eastAsia="仿宋_GB2312" w:cs="仿宋_GB2312"/>
          <w:sz w:val="32"/>
          <w:szCs w:val="32"/>
          <w:lang w:val="en-US"/>
        </w:rPr>
        <w:t>100</w:t>
      </w:r>
      <w:r>
        <w:rPr>
          <w:rFonts w:hint="eastAsia" w:ascii="仿宋_GB2312" w:hAnsi="ˎ̥" w:eastAsia="仿宋_GB2312" w:cs="仿宋_GB2312"/>
          <w:sz w:val="32"/>
          <w:szCs w:val="32"/>
        </w:rPr>
        <w:t>万元（含）以上设备（不含车辆）</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rPr>
        <w:t>台（套）。</w:t>
      </w:r>
    </w:p>
    <w:p>
      <w:pPr>
        <w:keepNext/>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left="0" w:leftChars="0" w:right="0" w:firstLine="640" w:firstLineChars="200"/>
        <w:textAlignment w:val="auto"/>
        <w:rPr>
          <w:rFonts w:hint="eastAsia" w:ascii="仿宋_GB2312" w:hAnsi="ˎ̥" w:eastAsia="仿宋_GB2312" w:cs="仿宋_GB2312"/>
          <w:sz w:val="32"/>
          <w:szCs w:val="32"/>
          <w:lang w:val="en-US"/>
        </w:rPr>
      </w:pPr>
      <w:r>
        <w:rPr>
          <w:rFonts w:hint="eastAsia" w:ascii="仿宋_GB2312" w:hAnsi="ˎ̥" w:eastAsia="仿宋_GB2312" w:cs="仿宋_GB2312"/>
          <w:sz w:val="32"/>
          <w:szCs w:val="32"/>
        </w:rPr>
        <w:t>年末在建工程</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rPr>
        <w:t>万元</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（注：上述国有资产占用情况相关数字取自2022年度部门决算F01表《预算支出相关信息表》、F03表《机构运行信息表》。）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both"/>
        <w:textAlignment w:val="auto"/>
        <w:rPr>
          <w:rFonts w:hint="eastAsia" w:ascii="黑体" w:hAnsi="ˎ̥" w:eastAsia="黑体" w:cs="黑体"/>
          <w:sz w:val="32"/>
          <w:szCs w:val="32"/>
          <w:shd w:val="clear" w:color="auto" w:fill="FFFFFF"/>
        </w:rPr>
      </w:pPr>
      <w:bookmarkStart w:id="113" w:name="_Toc8808_WPSOffice_Level1"/>
      <w:bookmarkStart w:id="114" w:name="_Toc15425_WPSOffice_Level1"/>
      <w:bookmarkStart w:id="115" w:name="_Toc11039_WPSOffice_Level1"/>
      <w:bookmarkStart w:id="116" w:name="_Toc17580_WPSOffice_Level1"/>
      <w:bookmarkStart w:id="117" w:name="_Toc8874_WPSOffice_Level1"/>
      <w:bookmarkStart w:id="118" w:name="_Toc4398_WPSOffice_Level1"/>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r>
        <w:rPr>
          <w:rFonts w:hint="eastAsia" w:ascii="黑体" w:hAnsi="ˎ̥" w:eastAsia="黑体" w:cs="黑体"/>
          <w:sz w:val="32"/>
          <w:szCs w:val="32"/>
          <w:shd w:val="clear" w:color="auto" w:fill="FFFFFF"/>
        </w:rPr>
        <w:t>第四部分名词解释</w:t>
      </w:r>
      <w:bookmarkEnd w:id="113"/>
      <w:bookmarkEnd w:id="114"/>
      <w:bookmarkEnd w:id="115"/>
      <w:bookmarkEnd w:id="116"/>
      <w:bookmarkEnd w:id="117"/>
      <w:bookmarkEnd w:id="118"/>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jc w:val="center"/>
        <w:textAlignment w:val="auto"/>
        <w:rPr>
          <w:rFonts w:hint="eastAsia" w:ascii="黑体" w:hAnsi="ˎ̥" w:eastAsia="黑体" w:cs="黑体"/>
          <w:sz w:val="32"/>
          <w:szCs w:val="32"/>
          <w:shd w:val="clear" w:color="auto" w:fill="FFFFFF"/>
        </w:rPr>
      </w:pPr>
    </w:p>
    <w:p>
      <w:pPr>
        <w:keepNext/>
        <w:keepLines w:val="0"/>
        <w:pageBreakBefore w:val="0"/>
        <w:widowControl w:val="0"/>
        <w:numPr>
          <w:ilvl w:val="0"/>
          <w:numId w:val="6"/>
        </w:numPr>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财政拨款收入：指同级政府财政部门当年拨付的各类财政拨款。</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二、上级补助收入：指事业单位从主管部门和上级单位取得的非财政补助收入。</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三、事业收入：指事业单位开展专业业务活动及辅助活动取得的收入。</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四、经营收入：指事业单位在专业业务活动及其辅助活动之外开展非独立核算经营活动取得的收入。</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五、附属单位上缴收入：指事业单位取得附属独立核算单位根据有关规定上缴的收入。</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六、其他收入：指除上述“财政拨款收入”“事业收入”“上级补助收入”“经营收入”“附属单位上缴收入”等以外的收入。</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七、使用非财政拨款结余：指事业单位在当年的“财政拨款收入”“事业收入”“经营收入”“其他收入”等不足以安排当年支出的情况下，使用非同级财政拨款结余资金弥补本年度收支缺口。</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八、年初结转和结余：指以前年度尚未完成、结转到本年按有关规定继续使用的资金，或项目已完成等产生的结余资金。</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九、结余分配：指事业单位缴纳企业所得税以及从非财政拨款结余或经营结余中提取各类结余的情况。</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十一、基本支出：指为保障机构正常运转、完成日常工作任务而发生的人员支出和公用支出。</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十二、项目支出：指在基本支出之外为完成特定行政任务和事业发展目标所发生的支出。</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十三、经营支出：指事业单位在专业业务活动及其辅助活动之外开展非独立核算经营活动发生的支出。</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（注：支出功能分类的名词解释，各部门（单位）根据实际支出情况填列，可参阅财政部印发的《2022年政府收支分类科目》）</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w:t>
      </w:r>
    </w:p>
    <w:p>
      <w:pPr>
        <w:keepNext/>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480" w:firstLineChars="200"/>
        <w:textAlignment w:val="auto"/>
        <w:rPr>
          <w:shd w:val="clear" w:color="auto" w:fill="FFFFFF"/>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22578"/>
    <w:multiLevelType w:val="singleLevel"/>
    <w:tmpl w:val="94C22578"/>
    <w:lvl w:ilvl="0" w:tentative="0">
      <w:start w:val="3"/>
      <w:numFmt w:val="chineseCounting"/>
      <w:suff w:val="nothing"/>
      <w:lvlText w:val="（%1）"/>
      <w:lvlJc w:val="left"/>
      <w:rPr>
        <w:rFonts w:hint="eastAsia"/>
      </w:rPr>
    </w:lvl>
  </w:abstractNum>
  <w:abstractNum w:abstractNumId="1">
    <w:nsid w:val="DDF6E0D9"/>
    <w:multiLevelType w:val="singleLevel"/>
    <w:tmpl w:val="DDF6E0D9"/>
    <w:lvl w:ilvl="0" w:tentative="0">
      <w:start w:val="1"/>
      <w:numFmt w:val="chineseCounting"/>
      <w:suff w:val="nothing"/>
      <w:lvlText w:val="%1、"/>
      <w:lvlJc w:val="left"/>
      <w:rPr>
        <w:rFonts w:hint="eastAsia"/>
      </w:rPr>
    </w:lvl>
  </w:abstractNum>
  <w:abstractNum w:abstractNumId="2">
    <w:nsid w:val="F1D1D7AD"/>
    <w:multiLevelType w:val="multilevel"/>
    <w:tmpl w:val="F1D1D7A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A8B2E8B"/>
    <w:multiLevelType w:val="multilevel"/>
    <w:tmpl w:val="3A8B2E8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ABC4865"/>
    <w:multiLevelType w:val="multilevel"/>
    <w:tmpl w:val="4ABC486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A27B51F"/>
    <w:multiLevelType w:val="singleLevel"/>
    <w:tmpl w:val="6A27B51F"/>
    <w:lvl w:ilvl="0" w:tentative="0">
      <w:start w:val="2"/>
      <w:numFmt w:val="chineseCounting"/>
      <w:suff w:val="nothing"/>
      <w:lvlText w:val="（%1）"/>
      <w:lvlJc w:val="left"/>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MDcxMjg5NmViZjUxZDljNjFkMzEwOWU0MDQzMjUifQ=="/>
  </w:docVars>
  <w:rsids>
    <w:rsidRoot w:val="00775561"/>
    <w:rsid w:val="000621DF"/>
    <w:rsid w:val="00084E07"/>
    <w:rsid w:val="000E5A95"/>
    <w:rsid w:val="002148BD"/>
    <w:rsid w:val="002222A9"/>
    <w:rsid w:val="00284096"/>
    <w:rsid w:val="00383DC1"/>
    <w:rsid w:val="003C40CA"/>
    <w:rsid w:val="0043687B"/>
    <w:rsid w:val="004A0D46"/>
    <w:rsid w:val="00531545"/>
    <w:rsid w:val="005E1D3C"/>
    <w:rsid w:val="006666A4"/>
    <w:rsid w:val="006D2DE3"/>
    <w:rsid w:val="006E49F8"/>
    <w:rsid w:val="007560F6"/>
    <w:rsid w:val="00775561"/>
    <w:rsid w:val="00833F5A"/>
    <w:rsid w:val="00857B46"/>
    <w:rsid w:val="008846CC"/>
    <w:rsid w:val="00895F4D"/>
    <w:rsid w:val="008D16C8"/>
    <w:rsid w:val="008D1839"/>
    <w:rsid w:val="00944DF2"/>
    <w:rsid w:val="00954E9F"/>
    <w:rsid w:val="009E5751"/>
    <w:rsid w:val="00A576C4"/>
    <w:rsid w:val="00AD05BC"/>
    <w:rsid w:val="00B10A98"/>
    <w:rsid w:val="00B87B08"/>
    <w:rsid w:val="00D356A6"/>
    <w:rsid w:val="00DB63DA"/>
    <w:rsid w:val="00E33A9D"/>
    <w:rsid w:val="00E84D19"/>
    <w:rsid w:val="00F749BF"/>
    <w:rsid w:val="16D11459"/>
    <w:rsid w:val="449C1DFD"/>
    <w:rsid w:val="4999265C"/>
    <w:rsid w:val="508A34FE"/>
    <w:rsid w:val="5E00338A"/>
    <w:rsid w:val="71BA1C30"/>
    <w:rsid w:val="74305C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bCs/>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bCs/>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bCs/>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5"/>
    <w:qFormat/>
    <w:uiPriority w:val="0"/>
    <w:pPr>
      <w:tabs>
        <w:tab w:val="center" w:pos="4153"/>
        <w:tab w:val="right" w:pos="8306"/>
      </w:tabs>
      <w:snapToGrid w:val="0"/>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character" w:customStyle="1" w:styleId="14">
    <w:name w:val="页眉 Char"/>
    <w:basedOn w:val="13"/>
    <w:link w:val="9"/>
    <w:uiPriority w:val="0"/>
    <w:rPr>
      <w:rFonts w:asciiTheme="minorEastAsia" w:hAnsiTheme="minorEastAsia" w:eastAsiaTheme="minorEastAsia"/>
      <w:sz w:val="18"/>
      <w:szCs w:val="18"/>
    </w:rPr>
  </w:style>
  <w:style w:type="character" w:customStyle="1" w:styleId="15">
    <w:name w:val="页脚 Char"/>
    <w:basedOn w:val="13"/>
    <w:link w:val="8"/>
    <w:uiPriority w:val="0"/>
    <w:rPr>
      <w:rFonts w:asciiTheme="minorEastAsia" w:hAnsiTheme="minorEastAsia" w:eastAsiaTheme="minorEastAsia"/>
      <w:sz w:val="18"/>
      <w:szCs w:val="18"/>
    </w:rPr>
  </w:style>
  <w:style w:type="paragraph" w:styleId="16">
    <w:name w:val="List Paragraph"/>
    <w:basedOn w:val="1"/>
    <w:unhideWhenUsed/>
    <w:uiPriority w:val="99"/>
    <w:pPr>
      <w:ind w:firstLine="420" w:firstLineChars="200"/>
    </w:pPr>
  </w:style>
  <w:style w:type="paragraph" w:customStyle="1" w:styleId="17">
    <w:name w:val="p55"/>
    <w:basedOn w:val="1"/>
    <w:qFormat/>
    <w:uiPriority w:val="0"/>
    <w:pPr>
      <w:spacing w:before="0" w:beforeLines="0" w:beforeAutospacing="0" w:after="0" w:afterLines="0" w:afterAutospacing="0"/>
      <w:ind w:left="0" w:right="0"/>
      <w:jc w:val="left"/>
    </w:pPr>
    <w:rPr>
      <w:rFonts w:hint="eastAsia" w:ascii="宋体" w:hAnsi="宋体" w:eastAsia="宋体" w:cs="宋体"/>
      <w:kern w:val="0"/>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891</Words>
  <Characters>5081</Characters>
  <Lines>42</Lines>
  <Paragraphs>11</Paragraphs>
  <TotalTime>2</TotalTime>
  <ScaleCrop>false</ScaleCrop>
  <LinksUpToDate>false</LinksUpToDate>
  <CharactersWithSpaces>5961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2023-09-21T03:11:00Z</dcterms:created>
  <dc:creator>Administrator</dc:creator>
  <cp:lastModifiedBy>Administrator</cp:lastModifiedBy>
  <dcterms:modified xsi:type="dcterms:W3CDTF">2023-09-25T03:28:18Z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7B7BAB457DC544238CE46C96D3516F22_13</vt:lpwstr>
  </property>
</Properties>
</file>