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600" w:lineRule="exact"/>
        <w:ind w:left="883" w:leftChars="0" w:hanging="883" w:hangingChars="200"/>
        <w:jc w:val="center"/>
        <w:textAlignment w:val="baseline"/>
        <w:rPr>
          <w:rFonts w:hint="eastAsia" w:ascii="黑体" w:hAnsi="ˎ̥" w:eastAsia="黑体" w:cs="黑体"/>
          <w:sz w:val="44"/>
          <w:szCs w:val="44"/>
          <w:shd w:val="clear" w:fill="FFFFFF"/>
        </w:rPr>
      </w:pPr>
      <w:r>
        <w:rPr>
          <w:rFonts w:hint="eastAsia" w:ascii="黑体" w:hAnsi="ˎ̥" w:eastAsia="黑体" w:cs="黑体"/>
          <w:sz w:val="44"/>
          <w:szCs w:val="44"/>
          <w:shd w:val="clear" w:fill="FFFFFF"/>
        </w:rPr>
        <w:t>定安县定城镇仙沟幼儿园</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600" w:lineRule="exact"/>
        <w:ind w:left="883" w:leftChars="0" w:hanging="883" w:hangingChars="200"/>
        <w:jc w:val="center"/>
        <w:textAlignment w:val="baseline"/>
        <w:rPr>
          <w:rFonts w:hint="default" w:ascii="黑体" w:hAnsi="ˎ̥" w:eastAsia="微软雅黑" w:cs="黑体"/>
          <w:b/>
          <w:sz w:val="32"/>
          <w:szCs w:val="32"/>
          <w:shd w:val="clear" w:color="auto" w:fill="FFFFFF"/>
          <w:lang w:val="en-US" w:eastAsia="zh-CN"/>
        </w:rPr>
      </w:pPr>
      <w:r>
        <w:rPr>
          <w:rFonts w:hint="eastAsia" w:ascii="黑体" w:hAnsi="ˎ̥" w:eastAsia="黑体" w:cs="黑体"/>
          <w:sz w:val="44"/>
          <w:szCs w:val="44"/>
          <w:shd w:val="clear" w:fill="FFFFFF"/>
        </w:rPr>
        <w:t>202</w:t>
      </w:r>
      <w:r>
        <w:rPr>
          <w:rFonts w:hint="eastAsia" w:ascii="黑体" w:hAnsi="ˎ̥" w:eastAsia="黑体" w:cs="黑体"/>
          <w:sz w:val="44"/>
          <w:szCs w:val="44"/>
          <w:shd w:val="clear" w:fill="FFFFFF"/>
          <w:lang w:val="en-US" w:eastAsia="zh-CN"/>
        </w:rPr>
        <w:t>2</w:t>
      </w:r>
      <w:r>
        <w:rPr>
          <w:rFonts w:hint="eastAsia" w:ascii="黑体" w:hAnsi="ˎ̥" w:eastAsia="黑体" w:cs="黑体"/>
          <w:sz w:val="44"/>
          <w:szCs w:val="44"/>
          <w:shd w:val="clear" w:fill="FFFFFF"/>
        </w:rPr>
        <w:t>年度部门决算公开报告</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880" w:leftChars="0" w:hanging="880" w:hangingChars="200"/>
        <w:jc w:val="center"/>
        <w:rPr>
          <w:rFonts w:hint="eastAsia" w:ascii="黑体" w:hAnsi="宋体" w:eastAsia="黑体" w:cs="黑体"/>
          <w:sz w:val="44"/>
          <w:szCs w:val="44"/>
          <w:shd w:val="clear" w:color="auto" w:fill="FFFFFF"/>
        </w:rPr>
      </w:pPr>
      <w:bookmarkStart w:id="0" w:name="_Toc11440_WPSOffice_Type2"/>
    </w:p>
    <w:p>
      <w:pPr>
        <w:keepNext/>
        <w:keepLines w:val="0"/>
        <w:pageBreakBefore w:val="0"/>
        <w:widowControl w:val="0"/>
        <w:kinsoku/>
        <w:wordWrap/>
        <w:overflowPunct/>
        <w:topLinePunct w:val="0"/>
        <w:autoSpaceDE/>
        <w:autoSpaceDN/>
        <w:bidi w:val="0"/>
        <w:adjustRightInd w:val="0"/>
        <w:snapToGrid w:val="0"/>
        <w:spacing w:afterAutospacing="0" w:line="600" w:lineRule="exact"/>
        <w:ind w:left="880" w:leftChars="0" w:hanging="880" w:hangingChars="200"/>
        <w:jc w:val="center"/>
        <w:rPr>
          <w:rFonts w:ascii="黑体" w:hAnsi="宋体" w:eastAsia="黑体" w:cs="黑体"/>
          <w:sz w:val="44"/>
          <w:szCs w:val="44"/>
          <w:shd w:val="clear" w:color="auto" w:fill="FFFFFF"/>
        </w:rPr>
      </w:pPr>
      <w:r>
        <w:rPr>
          <w:rFonts w:hint="eastAsia" w:ascii="黑体" w:hAnsi="宋体" w:eastAsia="黑体" w:cs="黑体"/>
          <w:sz w:val="44"/>
          <w:szCs w:val="44"/>
          <w:shd w:val="clear" w:color="auto" w:fill="FFFFFF"/>
        </w:rPr>
        <w:t>目录</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sz w:val="32"/>
          <w:szCs w:val="32"/>
          <w:shd w:val="clear" w:color="auto" w:fill="FFFFFF"/>
        </w:rPr>
      </w:pPr>
      <w:r>
        <w:rPr>
          <w:rFonts w:hint="eastAsia" w:ascii="黑体" w:hAnsi="ˎ̥" w:eastAsia="黑体" w:cs="黑体"/>
          <w:sz w:val="32"/>
          <w:szCs w:val="32"/>
          <w:shd w:val="clear" w:color="auto" w:fill="FFFFFF"/>
        </w:rPr>
        <w:t>第一部分 基本情况</w:t>
      </w:r>
      <w:r>
        <w:rPr>
          <w:sz w:val="32"/>
          <w:szCs w:val="32"/>
          <w:shd w:val="clear" w:color="auto" w:fill="FFFFFF"/>
        </w:rPr>
        <w:tab/>
      </w:r>
      <w:r>
        <w:rPr>
          <w:sz w:val="32"/>
          <w:szCs w:val="32"/>
          <w:shd w:val="clear" w:color="auto" w:fill="FFFFFF"/>
        </w:rPr>
        <w:t>3</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一、部门职责</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3</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二、机构设置</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3</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sz w:val="32"/>
          <w:szCs w:val="32"/>
          <w:shd w:val="clear" w:color="auto" w:fill="FFFFFF"/>
        </w:rPr>
      </w:pPr>
      <w:r>
        <w:rPr>
          <w:rFonts w:hint="eastAsia" w:ascii="黑体" w:hAnsi="ˎ̥" w:eastAsia="黑体" w:cs="黑体"/>
          <w:sz w:val="32"/>
          <w:szCs w:val="32"/>
          <w:shd w:val="clear" w:color="auto" w:fill="FFFFFF"/>
        </w:rPr>
        <w:t>第二部分  2022年度部门决算公开表</w:t>
      </w:r>
      <w:r>
        <w:rPr>
          <w:sz w:val="32"/>
          <w:szCs w:val="32"/>
          <w:shd w:val="clear" w:color="auto" w:fill="FFFFFF"/>
        </w:rPr>
        <w:tab/>
      </w:r>
      <w:r>
        <w:rPr>
          <w:sz w:val="32"/>
          <w:szCs w:val="32"/>
          <w:shd w:val="clear" w:color="auto" w:fill="FFFFFF"/>
        </w:rPr>
        <w:t>3</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sz w:val="32"/>
          <w:szCs w:val="32"/>
          <w:shd w:val="clear" w:color="auto" w:fill="FFFFFF"/>
        </w:rPr>
      </w:pPr>
      <w:r>
        <w:rPr>
          <w:rFonts w:hint="eastAsia" w:ascii="黑体" w:hAnsi="宋体" w:eastAsia="黑体" w:cs="黑体"/>
          <w:sz w:val="32"/>
          <w:szCs w:val="32"/>
          <w:shd w:val="clear" w:color="auto" w:fill="FFFFFF"/>
        </w:rPr>
        <w:t>第三部分</w:t>
      </w:r>
      <w:r>
        <w:rPr>
          <w:rFonts w:hint="eastAsia" w:ascii="黑体" w:hAnsi="ˎ̥" w:eastAsia="黑体" w:cs="黑体"/>
          <w:sz w:val="32"/>
          <w:szCs w:val="32"/>
          <w:shd w:val="clear" w:color="auto" w:fill="FFFFFF"/>
        </w:rPr>
        <w:t>2022年度部门决算情况说明</w:t>
      </w:r>
      <w:r>
        <w:rPr>
          <w:sz w:val="32"/>
          <w:szCs w:val="32"/>
          <w:shd w:val="clear" w:color="auto" w:fill="FFFFFF"/>
        </w:rPr>
        <w:tab/>
      </w:r>
      <w:r>
        <w:rPr>
          <w:sz w:val="32"/>
          <w:szCs w:val="32"/>
          <w:shd w:val="clear" w:color="auto" w:fill="FFFFFF"/>
        </w:rPr>
        <w:t>4</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一、收入支出总体情况说明</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4</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二、收入决算情况说明</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5</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三、支出决算情况说明</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5</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四、财政拨款收入支出决算情况说明</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5</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五、一般公共预算财政拨款支出决算情况说明</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6</w:t>
      </w:r>
    </w:p>
    <w:p>
      <w:pPr>
        <w:pStyle w:val="11"/>
        <w:keepNext/>
        <w:keepLines w:val="0"/>
        <w:pageBreakBefore w:val="0"/>
        <w:widowControl w:val="0"/>
        <w:tabs>
          <w:tab w:val="left" w:pos="7563"/>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六、一般公共预算财政拨款基本支出决算情况说明</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7</w:t>
      </w:r>
    </w:p>
    <w:p>
      <w:pPr>
        <w:pStyle w:val="11"/>
        <w:keepNext/>
        <w:keepLines w:val="0"/>
        <w:pageBreakBefore w:val="0"/>
        <w:widowControl w:val="0"/>
        <w:numPr>
          <w:ilvl w:val="0"/>
          <w:numId w:val="0"/>
        </w:numPr>
        <w:tabs>
          <w:tab w:val="left" w:pos="7926"/>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lang w:val="en-US" w:eastAsia="zh-CN"/>
        </w:rPr>
        <w:t>1.</w:t>
      </w:r>
      <w:r>
        <w:rPr>
          <w:rFonts w:hint="eastAsia" w:ascii="仿宋" w:hAnsi="仿宋" w:eastAsia="仿宋" w:cs="仿宋"/>
          <w:bCs/>
          <w:sz w:val="32"/>
          <w:szCs w:val="32"/>
          <w:shd w:val="clear" w:color="auto" w:fill="FFFFFF"/>
        </w:rPr>
        <w:t>政府性基金预算财政拨款收入支出决算情况说明</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8</w:t>
      </w:r>
    </w:p>
    <w:p>
      <w:pPr>
        <w:pStyle w:val="11"/>
        <w:keepNext/>
        <w:keepLines w:val="0"/>
        <w:pageBreakBefore w:val="0"/>
        <w:widowControl w:val="0"/>
        <w:numPr>
          <w:ilvl w:val="0"/>
          <w:numId w:val="0"/>
        </w:numPr>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lang w:val="en-US" w:eastAsia="zh-CN"/>
        </w:rPr>
        <w:t>2.</w:t>
      </w:r>
      <w:r>
        <w:rPr>
          <w:rFonts w:hint="eastAsia" w:ascii="仿宋" w:hAnsi="仿宋" w:eastAsia="仿宋" w:cs="仿宋"/>
          <w:bCs/>
          <w:sz w:val="32"/>
          <w:szCs w:val="32"/>
          <w:shd w:val="clear" w:color="auto" w:fill="FFFFFF"/>
        </w:rPr>
        <w:t>国有资本经营预算财政拨款收入支出决算情况说明</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8</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九、财政拨款“三公”经费支出决算情况说明</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8</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十、预算绩效情况说明</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11</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十一、其他重要事项情况说明</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11</w:t>
      </w:r>
    </w:p>
    <w:p>
      <w:pPr>
        <w:pStyle w:val="11"/>
        <w:keepNext/>
        <w:keepLines w:val="0"/>
        <w:pageBreakBefore w:val="0"/>
        <w:widowControl w:val="0"/>
        <w:tabs>
          <w:tab w:val="right" w:leader="dot" w:pos="8306"/>
        </w:tabs>
        <w:kinsoku/>
        <w:wordWrap/>
        <w:overflowPunct/>
        <w:topLinePunct w:val="0"/>
        <w:autoSpaceDE/>
        <w:autoSpaceDN/>
        <w:bidi w:val="0"/>
        <w:adjustRightInd w:val="0"/>
        <w:snapToGrid w:val="0"/>
        <w:spacing w:beforeAutospacing="0" w:afterAutospacing="0" w:line="600" w:lineRule="exact"/>
        <w:ind w:left="640" w:leftChars="0" w:hanging="640" w:hangingChars="200"/>
        <w:rPr>
          <w:rFonts w:hint="eastAsia" w:ascii="黑体" w:hAnsi="ˎ̥" w:eastAsia="黑体" w:cs="黑体"/>
          <w:b/>
          <w:sz w:val="32"/>
          <w:szCs w:val="32"/>
          <w:shd w:val="clear" w:color="auto" w:fill="FFFFFF"/>
        </w:rPr>
      </w:pPr>
      <w:r>
        <w:rPr>
          <w:rFonts w:hint="eastAsia" w:ascii="黑体" w:hAnsi="ˎ̥" w:eastAsia="黑体" w:cs="黑体"/>
          <w:sz w:val="32"/>
          <w:szCs w:val="32"/>
          <w:shd w:val="clear" w:color="auto" w:fill="FFFFFF"/>
        </w:rPr>
        <w:t>第四部分名词解释</w:t>
      </w:r>
      <w:r>
        <w:rPr>
          <w:sz w:val="32"/>
          <w:szCs w:val="32"/>
          <w:shd w:val="clear" w:color="auto" w:fill="FFFFFF"/>
        </w:rPr>
        <w:tab/>
      </w:r>
      <w:bookmarkStart w:id="1" w:name="_Toc15425_WPSOffice_Level1Page"/>
      <w:r>
        <w:rPr>
          <w:sz w:val="32"/>
          <w:szCs w:val="32"/>
          <w:shd w:val="clear" w:color="auto" w:fill="FFFFFF"/>
        </w:rPr>
        <w:t>1</w:t>
      </w:r>
      <w:bookmarkEnd w:id="0"/>
      <w:bookmarkEnd w:id="1"/>
      <w:r>
        <w:rPr>
          <w:sz w:val="32"/>
          <w:szCs w:val="32"/>
          <w:shd w:val="clear" w:color="auto" w:fill="FFFFFF"/>
        </w:rPr>
        <w:t>3</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640" w:leftChars="0" w:hanging="640" w:hangingChars="200"/>
        <w:jc w:val="center"/>
        <w:rPr>
          <w:rFonts w:hint="eastAsia" w:ascii="黑体" w:hAnsi="ˎ̥" w:eastAsia="黑体" w:cs="黑体"/>
          <w:sz w:val="32"/>
          <w:szCs w:val="32"/>
          <w:shd w:val="clear" w:color="auto" w:fill="FFFFFF"/>
        </w:rPr>
      </w:pPr>
      <w:bookmarkStart w:id="2" w:name="_Toc23465_WPSOffice_Level1"/>
      <w:bookmarkStart w:id="3" w:name="_Toc10049_WPSOffice_Level1"/>
      <w:bookmarkStart w:id="4" w:name="_Toc1704_WPSOffice_Level1"/>
      <w:bookmarkStart w:id="5" w:name="_Toc10720_WPSOffice_Level1"/>
      <w:bookmarkStart w:id="6" w:name="_Toc22941_WPSOffice_Level1"/>
      <w:bookmarkStart w:id="7" w:name="_Toc32433_WPSOffice_Level1"/>
      <w:bookmarkStart w:id="8" w:name="_Toc24238_WPSOffice_Level2"/>
      <w:bookmarkStart w:id="9" w:name="_Toc20274_WPSOffice_Level2"/>
      <w:bookmarkStart w:id="10" w:name="_Toc20205_WPSOffice_Level2"/>
      <w:bookmarkStart w:id="11" w:name="_Toc32622_WPSOffice_Level2"/>
      <w:bookmarkStart w:id="12" w:name="_Toc26580_WPSOffice_Level2"/>
      <w:bookmarkStart w:id="13" w:name="_Toc14159_WPSOffice_Level2"/>
    </w:p>
    <w:p>
      <w:pPr>
        <w:keepNext/>
        <w:keepLines w:val="0"/>
        <w:pageBreakBefore w:val="0"/>
        <w:widowControl w:val="0"/>
        <w:kinsoku/>
        <w:wordWrap/>
        <w:overflowPunct/>
        <w:topLinePunct w:val="0"/>
        <w:autoSpaceDE/>
        <w:autoSpaceDN/>
        <w:bidi w:val="0"/>
        <w:adjustRightInd w:val="0"/>
        <w:snapToGrid w:val="0"/>
        <w:spacing w:afterAutospacing="0" w:line="600" w:lineRule="exact"/>
        <w:ind w:left="640" w:leftChars="0" w:hanging="640" w:hangingChars="200"/>
        <w:jc w:val="center"/>
        <w:rPr>
          <w:rFonts w:hint="eastAsia" w:ascii="黑体" w:hAnsi="ˎ̥" w:eastAsia="黑体" w:cs="黑体"/>
          <w:sz w:val="32"/>
          <w:szCs w:val="32"/>
          <w:shd w:val="clear" w:color="auto" w:fill="FFFFFF"/>
        </w:rPr>
      </w:pPr>
    </w:p>
    <w:p>
      <w:pPr>
        <w:keepNext/>
        <w:keepLines w:val="0"/>
        <w:pageBreakBefore w:val="0"/>
        <w:widowControl w:val="0"/>
        <w:kinsoku/>
        <w:wordWrap/>
        <w:overflowPunct/>
        <w:topLinePunct w:val="0"/>
        <w:autoSpaceDE/>
        <w:autoSpaceDN/>
        <w:bidi w:val="0"/>
        <w:adjustRightInd w:val="0"/>
        <w:snapToGrid w:val="0"/>
        <w:spacing w:afterAutospacing="0" w:line="600" w:lineRule="exact"/>
        <w:ind w:left="640" w:leftChars="0" w:hanging="640" w:hangingChars="200"/>
        <w:jc w:val="center"/>
        <w:rPr>
          <w:rFonts w:hint="eastAsia" w:ascii="黑体" w:hAnsi="ˎ̥" w:eastAsia="黑体" w:cs="黑体"/>
          <w:sz w:val="32"/>
          <w:szCs w:val="32"/>
          <w:shd w:val="clear" w:color="auto" w:fill="FFFFFF"/>
        </w:rPr>
      </w:pPr>
      <w:r>
        <w:rPr>
          <w:rFonts w:hint="eastAsia" w:ascii="黑体" w:hAnsi="ˎ̥" w:eastAsia="黑体" w:cs="黑体"/>
          <w:sz w:val="32"/>
          <w:szCs w:val="32"/>
          <w:shd w:val="clear" w:color="auto" w:fill="FFFFFF"/>
        </w:rPr>
        <w:t>第一部分</w:t>
      </w:r>
      <w:bookmarkEnd w:id="2"/>
      <w:bookmarkEnd w:id="3"/>
      <w:bookmarkEnd w:id="4"/>
      <w:bookmarkEnd w:id="5"/>
      <w:bookmarkEnd w:id="6"/>
      <w:bookmarkEnd w:id="7"/>
      <w:r>
        <w:rPr>
          <w:rFonts w:hint="eastAsia" w:ascii="黑体" w:hAnsi="ˎ̥" w:eastAsia="黑体" w:cs="黑体"/>
          <w:sz w:val="32"/>
          <w:szCs w:val="32"/>
          <w:shd w:val="clear" w:color="auto" w:fill="FFFFFF"/>
        </w:rPr>
        <w:t>基本情况</w:t>
      </w:r>
    </w:p>
    <w:p>
      <w:pPr>
        <w:pStyle w:val="16"/>
        <w:keepNext/>
        <w:keepLines w:val="0"/>
        <w:pageBreakBefore w:val="0"/>
        <w:widowControl w:val="0"/>
        <w:numPr>
          <w:ilvl w:val="0"/>
          <w:numId w:val="0"/>
        </w:numPr>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黑体" w:hAnsi="宋体" w:eastAsia="黑体" w:cs="黑体"/>
          <w:sz w:val="32"/>
          <w:szCs w:val="32"/>
          <w:shd w:val="clear" w:color="auto" w:fill="FFFFFF"/>
        </w:rPr>
      </w:pPr>
      <w:r>
        <w:rPr>
          <w:rFonts w:hint="eastAsia" w:ascii="黑体" w:hAnsi="宋体" w:eastAsia="黑体" w:cs="黑体"/>
          <w:sz w:val="32"/>
          <w:szCs w:val="32"/>
          <w:shd w:val="clear" w:color="auto" w:fill="FFFFFF"/>
          <w:lang w:val="en-US" w:eastAsia="zh-CN"/>
        </w:rPr>
        <w:t>一、</w:t>
      </w:r>
      <w:r>
        <w:rPr>
          <w:rFonts w:hint="eastAsia" w:ascii="黑体" w:hAnsi="宋体" w:eastAsia="黑体" w:cs="黑体"/>
          <w:sz w:val="32"/>
          <w:szCs w:val="32"/>
          <w:shd w:val="clear" w:color="auto" w:fill="FFFFFF"/>
        </w:rPr>
        <w:t>部门</w:t>
      </w:r>
      <w:bookmarkEnd w:id="8"/>
      <w:r>
        <w:rPr>
          <w:rFonts w:hint="eastAsia" w:ascii="黑体" w:hAnsi="宋体" w:eastAsia="黑体" w:cs="黑体"/>
          <w:sz w:val="32"/>
          <w:szCs w:val="32"/>
          <w:shd w:val="clear" w:color="auto" w:fill="FFFFFF"/>
        </w:rPr>
        <w:t>（单位）职责</w:t>
      </w:r>
      <w:bookmarkEnd w:id="9"/>
      <w:bookmarkEnd w:id="10"/>
      <w:bookmarkEnd w:id="11"/>
      <w:bookmarkEnd w:id="12"/>
      <w:bookmarkEnd w:id="13"/>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shd w:val="clear" w:color="auto" w:fill="FFFFFF"/>
        </w:rPr>
        <w:t>单位职责:本单位的职责是实施学前教育，促进学前教育发展等相关社会服务</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黑体" w:hAnsi="宋体" w:eastAsia="黑体" w:cs="黑体"/>
          <w:sz w:val="32"/>
          <w:szCs w:val="32"/>
          <w:shd w:val="clear" w:color="auto" w:fill="FFFFFF"/>
        </w:rPr>
      </w:pPr>
      <w:bookmarkStart w:id="14" w:name="_Toc17796_WPSOffice_Level2"/>
      <w:bookmarkStart w:id="15" w:name="_Toc24474_WPSOffice_Level2"/>
      <w:bookmarkStart w:id="16" w:name="_Toc6572_WPSOffice_Level2"/>
      <w:bookmarkStart w:id="17" w:name="_Toc24059_WPSOffice_Level2"/>
      <w:bookmarkStart w:id="18" w:name="_Toc4833_WPSOffice_Level2"/>
      <w:r>
        <w:rPr>
          <w:rFonts w:hint="eastAsia" w:ascii="黑体" w:hAnsi="宋体" w:eastAsia="黑体" w:cs="黑体"/>
          <w:sz w:val="32"/>
          <w:szCs w:val="32"/>
          <w:shd w:val="clear" w:color="auto" w:fill="FFFFFF"/>
        </w:rPr>
        <w:t>二、机构设置</w:t>
      </w:r>
      <w:bookmarkEnd w:id="14"/>
      <w:bookmarkEnd w:id="15"/>
      <w:bookmarkEnd w:id="16"/>
      <w:bookmarkEnd w:id="17"/>
      <w:bookmarkEnd w:id="18"/>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楷体_GB2312" w:hAnsi="楷体_GB2312" w:eastAsia="楷体_GB2312" w:cs="楷体_GB2312"/>
          <w:color w:val="000000"/>
          <w:sz w:val="32"/>
          <w:szCs w:val="32"/>
          <w:shd w:val="clear" w:color="auto" w:fill="FFFFFF"/>
        </w:rPr>
      </w:pPr>
      <w:bookmarkStart w:id="19" w:name="_Toc30690_WPSOffice_Level1"/>
      <w:bookmarkStart w:id="20" w:name="_Toc6234_WPSOffice_Level1"/>
      <w:bookmarkStart w:id="21" w:name="_Toc30451_WPSOffice_Level1"/>
      <w:bookmarkStart w:id="22" w:name="_Toc28253_WPSOffice_Level1"/>
      <w:bookmarkStart w:id="23" w:name="_Toc15521_WPSOffice_Level1"/>
      <w:bookmarkStart w:id="24" w:name="_Toc8164_WPSOffice_Level1"/>
      <w:bookmarkStart w:id="25" w:name="_Toc32695_WPSOffice_Level2"/>
      <w:bookmarkStart w:id="26" w:name="_Toc32472_WPSOffice_Level2"/>
      <w:bookmarkStart w:id="27" w:name="_Toc8867_WPSOffice_Level2"/>
      <w:bookmarkStart w:id="28" w:name="_Toc4029_WPSOffice_Level2"/>
      <w:bookmarkStart w:id="29" w:name="_Toc11518_WPSOffice_Level2"/>
      <w:bookmarkStart w:id="30" w:name="_Toc6211_WPSOffice_Level2"/>
      <w:r>
        <w:rPr>
          <w:rFonts w:hint="eastAsia" w:ascii="楷体_GB2312" w:hAnsi="楷体_GB2312" w:eastAsia="楷体_GB2312" w:cs="楷体_GB2312"/>
          <w:color w:val="000000"/>
          <w:sz w:val="32"/>
          <w:szCs w:val="32"/>
          <w:shd w:val="clear" w:color="auto" w:fill="FFFFFF"/>
          <w:lang w:val="en-US" w:eastAsia="zh-CN"/>
        </w:rPr>
        <w:t>(一）</w:t>
      </w:r>
      <w:r>
        <w:rPr>
          <w:rFonts w:hint="eastAsia" w:ascii="楷体_GB2312" w:hAnsi="楷体_GB2312" w:eastAsia="楷体_GB2312" w:cs="楷体_GB2312"/>
          <w:color w:val="000000"/>
          <w:sz w:val="32"/>
          <w:szCs w:val="32"/>
          <w:shd w:val="clear" w:color="auto" w:fill="FFFFFF"/>
        </w:rPr>
        <w:t>园长室</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全面负责园内行政、人事、安全、党支部建设等各条线管理工作，主管教职工政治思想工作，筹集资金，改善办学条件。</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val="en-US" w:eastAsia="zh-CN"/>
        </w:rPr>
        <w:t>（二）副园长室</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主管业务工作，具体抓幼儿园教育教学常规、课程建设、幼儿发展、示范辐射、教师业务培养、年级组建设、环境创设等工作。</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val="en-US" w:eastAsia="zh-CN"/>
        </w:rPr>
        <w:t>（三）教务处</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主管教科、安全工作，具体抓教科、师德师风、师资队伍建设、特色建设、工会等工作。</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val="en-US" w:eastAsia="zh-CN"/>
        </w:rPr>
        <w:t>（四）教务处</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主管教研工作，具体抓园本教研、继续教育、档案、园务公开、校园文化、学校精神文明建设、0-3岁早教、校外资源的利用、家长工作等。</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val="en-US" w:eastAsia="zh-CN"/>
        </w:rPr>
        <w:t>（五）总务处</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主管后勤工作，具体抓安全、卫生、校车、卫生保健、党建等工作。</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val="en-US" w:eastAsia="zh-CN"/>
        </w:rPr>
        <w:t>（六）保健室</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负责管理幼儿营养膳食、幼儿疾病预防工作、食堂卫生安全、幼儿园环境卫生安全、幼儿体格检查及体弱儿矫治、保育员培训及工作考核等。</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纳入定安县教育部门2021年度部门决算编制范围的二级预算单位包括：定安县定城镇仙沟幼儿园部门本级。</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883" w:leftChars="0" w:firstLine="640" w:firstLineChars="200"/>
        <w:jc w:val="both"/>
        <w:textAlignment w:val="auto"/>
        <w:rPr>
          <w:rFonts w:hint="eastAsia" w:ascii="黑体" w:hAnsi="ˎ̥" w:eastAsia="黑体" w:cs="黑体"/>
          <w:sz w:val="32"/>
          <w:szCs w:val="32"/>
          <w:shd w:val="clear" w:color="auto" w:fill="FFFFFF"/>
        </w:rPr>
      </w:pPr>
    </w:p>
    <w:p>
      <w:pPr>
        <w:keepNext/>
        <w:keepLines w:val="0"/>
        <w:pageBreakBefore w:val="0"/>
        <w:widowControl w:val="0"/>
        <w:kinsoku/>
        <w:wordWrap/>
        <w:overflowPunct/>
        <w:topLinePunct w:val="0"/>
        <w:autoSpaceDE/>
        <w:autoSpaceDN/>
        <w:bidi w:val="0"/>
        <w:adjustRightInd w:val="0"/>
        <w:snapToGrid w:val="0"/>
        <w:spacing w:afterAutospacing="0" w:line="600" w:lineRule="exact"/>
        <w:ind w:left="883" w:leftChars="0" w:firstLine="640" w:firstLineChars="200"/>
        <w:jc w:val="both"/>
        <w:textAlignment w:val="auto"/>
        <w:rPr>
          <w:rFonts w:hint="eastAsia" w:ascii="黑体" w:hAnsi="ˎ̥" w:eastAsia="黑体" w:cs="黑体"/>
          <w:sz w:val="32"/>
          <w:szCs w:val="32"/>
          <w:shd w:val="clear" w:color="auto" w:fill="FFFFFF"/>
        </w:rPr>
      </w:pPr>
      <w:r>
        <w:rPr>
          <w:rFonts w:hint="eastAsia" w:ascii="黑体" w:hAnsi="ˎ̥" w:eastAsia="黑体" w:cs="黑体"/>
          <w:sz w:val="32"/>
          <w:szCs w:val="32"/>
          <w:shd w:val="clear" w:color="auto" w:fill="FFFFFF"/>
        </w:rPr>
        <w:t>第二部分  2022年度部门决算公开报表</w:t>
      </w:r>
      <w:bookmarkEnd w:id="19"/>
      <w:bookmarkEnd w:id="20"/>
      <w:bookmarkEnd w:id="21"/>
      <w:bookmarkEnd w:id="22"/>
      <w:bookmarkEnd w:id="23"/>
      <w:bookmarkEnd w:id="24"/>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黑体" w:hAnsi="宋体" w:eastAsia="黑体" w:cs="黑体"/>
          <w:sz w:val="32"/>
          <w:szCs w:val="32"/>
          <w:shd w:val="clear" w:color="auto" w:fill="FFFFFF"/>
        </w:rPr>
      </w:pP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一、收入支出决算公开表</w:t>
      </w:r>
      <w:bookmarkEnd w:id="25"/>
      <w:bookmarkEnd w:id="26"/>
      <w:bookmarkEnd w:id="27"/>
      <w:bookmarkEnd w:id="28"/>
      <w:bookmarkEnd w:id="29"/>
      <w:bookmarkEnd w:id="30"/>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黑体" w:hAnsi="宋体" w:eastAsia="黑体" w:cs="黑体"/>
          <w:sz w:val="32"/>
          <w:szCs w:val="32"/>
          <w:shd w:val="clear" w:color="auto" w:fill="FFFFFF"/>
        </w:rPr>
      </w:pPr>
      <w:bookmarkStart w:id="31" w:name="_Toc30334_WPSOffice_Level2"/>
      <w:bookmarkStart w:id="32" w:name="_Toc25608_WPSOffice_Level2"/>
      <w:bookmarkStart w:id="33" w:name="_Toc28622_WPSOffice_Level2"/>
      <w:bookmarkStart w:id="34" w:name="_Toc14349_WPSOffice_Level2"/>
      <w:bookmarkStart w:id="35" w:name="_Toc23139_WPSOffice_Level2"/>
      <w:bookmarkStart w:id="36" w:name="_Toc26621_WPSOffice_Level2"/>
      <w:r>
        <w:rPr>
          <w:rFonts w:hint="eastAsia" w:ascii="黑体" w:hAnsi="宋体" w:eastAsia="黑体" w:cs="黑体"/>
          <w:sz w:val="32"/>
          <w:szCs w:val="32"/>
          <w:shd w:val="clear" w:color="auto" w:fill="FFFFFF"/>
        </w:rPr>
        <w:t>二、收入决算公开表</w:t>
      </w:r>
      <w:bookmarkEnd w:id="31"/>
      <w:bookmarkEnd w:id="32"/>
      <w:bookmarkEnd w:id="33"/>
      <w:bookmarkEnd w:id="34"/>
      <w:bookmarkEnd w:id="35"/>
      <w:bookmarkEnd w:id="36"/>
      <w:bookmarkStart w:id="37" w:name="_Toc14658_WPSOffice_Level2"/>
      <w:bookmarkStart w:id="38" w:name="_Toc3262_WPSOffice_Level2"/>
      <w:bookmarkStart w:id="39" w:name="_Toc17626_WPSOffice_Level2"/>
      <w:bookmarkStart w:id="40" w:name="_Toc17858_WPSOffice_Level2"/>
      <w:bookmarkStart w:id="41" w:name="_Toc13854_WPSOffice_Level2"/>
      <w:bookmarkStart w:id="42" w:name="_Toc5489_WPSOffice_Level2"/>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三、支出决算公开表</w:t>
      </w:r>
      <w:bookmarkEnd w:id="37"/>
      <w:bookmarkEnd w:id="38"/>
      <w:bookmarkEnd w:id="39"/>
      <w:bookmarkEnd w:id="40"/>
      <w:bookmarkEnd w:id="41"/>
      <w:bookmarkEnd w:id="42"/>
      <w:bookmarkStart w:id="43" w:name="_Toc21415_WPSOffice_Level2"/>
      <w:bookmarkStart w:id="44" w:name="_Toc23591_WPSOffice_Level2"/>
      <w:bookmarkStart w:id="45" w:name="_Toc7988_WPSOffice_Level2"/>
      <w:bookmarkStart w:id="46" w:name="_Toc4265_WPSOffice_Level2"/>
      <w:bookmarkStart w:id="47" w:name="_Toc13701_WPSOffice_Level2"/>
      <w:bookmarkStart w:id="48" w:name="_Toc23493_WPSOffice_Level2"/>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黑体" w:hAnsi="宋体" w:eastAsia="黑体" w:cs="黑体"/>
          <w:sz w:val="32"/>
          <w:szCs w:val="32"/>
          <w:shd w:val="clear" w:color="auto" w:fill="FFFFFF"/>
        </w:rPr>
      </w:pPr>
      <w:r>
        <w:rPr>
          <w:rFonts w:hint="eastAsia" w:ascii="黑体" w:hAnsi="宋体" w:eastAsia="黑体" w:cs="黑体"/>
          <w:sz w:val="32"/>
          <w:szCs w:val="32"/>
          <w:shd w:val="clear" w:color="auto" w:fill="FFFFFF"/>
        </w:rPr>
        <w:t>四、财政拨款收入支出决算公开表</w:t>
      </w:r>
      <w:bookmarkEnd w:id="43"/>
      <w:bookmarkEnd w:id="44"/>
      <w:bookmarkEnd w:id="45"/>
      <w:bookmarkEnd w:id="46"/>
      <w:bookmarkEnd w:id="47"/>
      <w:bookmarkEnd w:id="48"/>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黑体" w:hAnsi="宋体" w:eastAsia="黑体" w:cs="黑体"/>
          <w:sz w:val="32"/>
          <w:szCs w:val="32"/>
          <w:shd w:val="clear" w:color="auto" w:fill="FFFFFF"/>
        </w:rPr>
      </w:pPr>
      <w:bookmarkStart w:id="49" w:name="_Toc22783_WPSOffice_Level2"/>
      <w:bookmarkStart w:id="50" w:name="_Toc25166_WPSOffice_Level2"/>
      <w:bookmarkStart w:id="51" w:name="_Toc7879_WPSOffice_Level2"/>
      <w:bookmarkStart w:id="52" w:name="_Toc23829_WPSOffice_Level2"/>
      <w:bookmarkStart w:id="53" w:name="_Toc13516_WPSOffice_Level2"/>
      <w:bookmarkStart w:id="54" w:name="_Toc2158_WPSOffice_Level2"/>
      <w:r>
        <w:rPr>
          <w:rFonts w:hint="eastAsia" w:ascii="黑体" w:hAnsi="宋体" w:eastAsia="黑体" w:cs="黑体"/>
          <w:sz w:val="32"/>
          <w:szCs w:val="32"/>
          <w:shd w:val="clear" w:color="auto" w:fill="FFFFFF"/>
        </w:rPr>
        <w:t>五、一般公共预算财政拨款收入支出决算</w:t>
      </w:r>
      <w:bookmarkEnd w:id="49"/>
      <w:bookmarkEnd w:id="50"/>
      <w:bookmarkEnd w:id="51"/>
      <w:bookmarkEnd w:id="52"/>
      <w:r>
        <w:rPr>
          <w:rFonts w:hint="eastAsia" w:ascii="黑体" w:hAnsi="宋体" w:eastAsia="黑体" w:cs="黑体"/>
          <w:sz w:val="32"/>
          <w:szCs w:val="32"/>
          <w:shd w:val="clear" w:color="auto" w:fill="FFFFFF"/>
        </w:rPr>
        <w:t>公开表</w:t>
      </w:r>
      <w:bookmarkEnd w:id="53"/>
      <w:bookmarkEnd w:id="54"/>
      <w:bookmarkStart w:id="55" w:name="_Toc8373_WPSOffice_Level2"/>
      <w:bookmarkStart w:id="56" w:name="_Toc2632_WPSOffice_Level2"/>
      <w:bookmarkStart w:id="57" w:name="_Toc5343_WPSOffice_Level2"/>
      <w:bookmarkStart w:id="58" w:name="_Toc17833_WPSOffice_Level2"/>
      <w:bookmarkStart w:id="59" w:name="_Toc25362_WPSOffice_Level2"/>
      <w:bookmarkStart w:id="60" w:name="_Toc17283_WPSOffice_Level2"/>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黑体" w:hAnsi="宋体" w:eastAsia="黑体" w:cs="黑体"/>
          <w:sz w:val="32"/>
          <w:szCs w:val="32"/>
          <w:shd w:val="clear" w:color="auto" w:fill="FFFFFF"/>
        </w:rPr>
      </w:pPr>
      <w:r>
        <w:rPr>
          <w:rFonts w:hint="eastAsia" w:ascii="黑体" w:hAnsi="宋体" w:eastAsia="黑体" w:cs="黑体"/>
          <w:sz w:val="32"/>
          <w:szCs w:val="32"/>
          <w:shd w:val="clear" w:color="auto" w:fill="FFFFFF"/>
        </w:rPr>
        <w:t>六、一般公共预算财政拨款基本支出决算</w:t>
      </w:r>
      <w:bookmarkEnd w:id="55"/>
      <w:bookmarkEnd w:id="56"/>
      <w:bookmarkEnd w:id="57"/>
      <w:bookmarkEnd w:id="58"/>
      <w:bookmarkEnd w:id="59"/>
      <w:bookmarkEnd w:id="60"/>
      <w:r>
        <w:rPr>
          <w:rFonts w:hint="eastAsia" w:ascii="黑体" w:hAnsi="宋体" w:eastAsia="黑体" w:cs="黑体"/>
          <w:sz w:val="32"/>
          <w:szCs w:val="32"/>
          <w:shd w:val="clear" w:color="auto" w:fill="FFFFFF"/>
        </w:rPr>
        <w:t>公开表</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黑体" w:hAnsi="宋体" w:eastAsia="黑体" w:cs="黑体"/>
          <w:sz w:val="32"/>
          <w:szCs w:val="32"/>
          <w:shd w:val="clear" w:color="auto" w:fill="FFFFFF"/>
        </w:rPr>
      </w:pPr>
      <w:bookmarkStart w:id="61" w:name="_Toc13345_WPSOffice_Level2"/>
      <w:bookmarkStart w:id="62" w:name="_Toc11799_WPSOffice_Level2"/>
      <w:bookmarkStart w:id="63" w:name="_Toc21310_WPSOffice_Level2"/>
      <w:bookmarkStart w:id="64" w:name="_Toc6020_WPSOffice_Level2"/>
      <w:bookmarkStart w:id="65" w:name="_Toc5594_WPSOffice_Level2"/>
      <w:bookmarkStart w:id="66" w:name="_Toc1533_WPSOffice_Level2"/>
      <w:r>
        <w:rPr>
          <w:rFonts w:hint="eastAsia" w:ascii="黑体" w:hAnsi="宋体" w:eastAsia="黑体" w:cs="黑体"/>
          <w:sz w:val="32"/>
          <w:szCs w:val="32"/>
          <w:shd w:val="clear" w:color="auto" w:fill="FFFFFF"/>
        </w:rPr>
        <w:t>七、政府性基金预算财政拨款收入支出决算</w:t>
      </w:r>
      <w:bookmarkEnd w:id="61"/>
      <w:bookmarkEnd w:id="62"/>
      <w:bookmarkEnd w:id="63"/>
      <w:bookmarkEnd w:id="64"/>
      <w:bookmarkEnd w:id="65"/>
      <w:bookmarkEnd w:id="66"/>
      <w:r>
        <w:rPr>
          <w:rFonts w:hint="eastAsia" w:ascii="黑体" w:hAnsi="宋体" w:eastAsia="黑体" w:cs="黑体"/>
          <w:sz w:val="32"/>
          <w:szCs w:val="32"/>
          <w:shd w:val="clear" w:color="auto" w:fill="FFFFFF"/>
        </w:rPr>
        <w:t>公开表</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黑体" w:hAnsi="宋体" w:eastAsia="黑体" w:cs="黑体"/>
          <w:sz w:val="32"/>
          <w:szCs w:val="32"/>
          <w:shd w:val="clear" w:color="auto" w:fill="FFFFFF"/>
        </w:rPr>
      </w:pPr>
      <w:r>
        <w:rPr>
          <w:rFonts w:hint="eastAsia" w:ascii="黑体" w:hAnsi="宋体" w:eastAsia="黑体" w:cs="黑体"/>
          <w:sz w:val="32"/>
          <w:szCs w:val="32"/>
          <w:shd w:val="clear" w:color="auto" w:fill="FFFFFF"/>
        </w:rPr>
        <w:t>八、国有资本经营预算财政拨款收入支出决算公开表</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黑体" w:hAnsi="宋体" w:eastAsia="黑体" w:cs="黑体"/>
          <w:sz w:val="32"/>
          <w:szCs w:val="32"/>
          <w:shd w:val="clear" w:color="auto" w:fill="FFFFFF"/>
        </w:rPr>
      </w:pPr>
      <w:bookmarkStart w:id="67" w:name="_Toc1820_WPSOffice_Level2"/>
      <w:bookmarkStart w:id="68" w:name="_Toc9377_WPSOffice_Level2"/>
      <w:bookmarkStart w:id="69" w:name="_Toc29886_WPSOffice_Level2"/>
      <w:bookmarkStart w:id="70" w:name="_Toc19961_WPSOffice_Level2"/>
      <w:r>
        <w:rPr>
          <w:rFonts w:hint="eastAsia" w:ascii="黑体" w:hAnsi="宋体" w:eastAsia="黑体" w:cs="黑体"/>
          <w:sz w:val="32"/>
          <w:szCs w:val="32"/>
          <w:shd w:val="clear" w:color="auto" w:fill="FFFFFF"/>
        </w:rPr>
        <w:t>九、财政拨款“三公”经费支出决算</w:t>
      </w:r>
      <w:bookmarkEnd w:id="67"/>
      <w:bookmarkEnd w:id="68"/>
      <w:bookmarkEnd w:id="69"/>
      <w:bookmarkEnd w:id="70"/>
      <w:r>
        <w:rPr>
          <w:rFonts w:hint="eastAsia" w:ascii="黑体" w:hAnsi="宋体" w:eastAsia="黑体" w:cs="黑体"/>
          <w:sz w:val="32"/>
          <w:szCs w:val="32"/>
          <w:shd w:val="clear" w:color="auto" w:fill="FFFFFF"/>
        </w:rPr>
        <w:t>公开表</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黑体" w:hAnsi="宋体" w:eastAsia="黑体" w:cs="黑体"/>
          <w:sz w:val="32"/>
          <w:szCs w:val="32"/>
          <w:shd w:val="clear" w:color="auto" w:fill="FFFFFF"/>
        </w:rPr>
      </w:pPr>
      <w:r>
        <w:rPr>
          <w:rFonts w:hint="eastAsia" w:ascii="黑体" w:hAnsi="宋体" w:eastAsia="黑体" w:cs="黑体"/>
          <w:sz w:val="32"/>
          <w:szCs w:val="32"/>
          <w:shd w:val="clear" w:color="auto" w:fill="FFFFFF"/>
        </w:rPr>
        <w:t>以上报表见附件1。</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883" w:leftChars="0" w:firstLine="640" w:firstLineChars="200"/>
        <w:textAlignment w:val="auto"/>
        <w:rPr>
          <w:rFonts w:ascii="黑体" w:hAnsi="宋体" w:eastAsia="黑体" w:cs="黑体"/>
          <w:sz w:val="32"/>
          <w:szCs w:val="32"/>
          <w:shd w:val="clear" w:color="auto" w:fill="FFFFFF"/>
        </w:rPr>
      </w:pPr>
    </w:p>
    <w:p>
      <w:pPr>
        <w:keepNext/>
        <w:keepLines w:val="0"/>
        <w:pageBreakBefore w:val="0"/>
        <w:widowControl w:val="0"/>
        <w:kinsoku/>
        <w:wordWrap/>
        <w:overflowPunct/>
        <w:topLinePunct w:val="0"/>
        <w:autoSpaceDE/>
        <w:autoSpaceDN/>
        <w:bidi w:val="0"/>
        <w:adjustRightInd w:val="0"/>
        <w:snapToGrid w:val="0"/>
        <w:spacing w:afterAutospacing="0" w:line="600" w:lineRule="exact"/>
        <w:ind w:left="883" w:leftChars="0" w:firstLine="640" w:firstLineChars="200"/>
        <w:jc w:val="center"/>
        <w:textAlignment w:val="auto"/>
        <w:rPr>
          <w:rFonts w:hint="eastAsia" w:ascii="黑体" w:hAnsi="ˎ̥" w:eastAsia="黑体" w:cs="黑体"/>
          <w:sz w:val="32"/>
          <w:szCs w:val="32"/>
          <w:shd w:val="clear" w:color="auto" w:fill="FFFFFF"/>
        </w:rPr>
      </w:pPr>
      <w:bookmarkStart w:id="71" w:name="_Toc29683_WPSOffice_Level1"/>
      <w:bookmarkStart w:id="72" w:name="_Toc31264_WPSOffice_Level1"/>
      <w:bookmarkStart w:id="73" w:name="_Toc16686_WPSOffice_Level1"/>
      <w:bookmarkStart w:id="74" w:name="_Toc27590_WPSOffice_Level1"/>
      <w:bookmarkStart w:id="75" w:name="_Toc4402_WPSOffice_Level1"/>
      <w:bookmarkStart w:id="76" w:name="_Toc28629_WPSOffice_Level1"/>
      <w:r>
        <w:rPr>
          <w:rFonts w:hint="eastAsia" w:ascii="黑体" w:hAnsi="ˎ̥" w:eastAsia="黑体" w:cs="黑体"/>
          <w:sz w:val="32"/>
          <w:szCs w:val="32"/>
          <w:shd w:val="clear" w:color="auto" w:fill="FFFFFF"/>
        </w:rPr>
        <w:t>第三部分  2022年度部门决算情况说明</w:t>
      </w:r>
      <w:bookmarkEnd w:id="71"/>
      <w:bookmarkEnd w:id="72"/>
      <w:bookmarkEnd w:id="73"/>
      <w:bookmarkEnd w:id="74"/>
      <w:bookmarkEnd w:id="75"/>
      <w:bookmarkEnd w:id="76"/>
    </w:p>
    <w:p>
      <w:pPr>
        <w:keepNext/>
        <w:keepLines w:val="0"/>
        <w:pageBreakBefore w:val="0"/>
        <w:widowControl w:val="0"/>
        <w:kinsoku/>
        <w:wordWrap/>
        <w:overflowPunct/>
        <w:topLinePunct w:val="0"/>
        <w:autoSpaceDE/>
        <w:autoSpaceDN/>
        <w:bidi w:val="0"/>
        <w:adjustRightInd w:val="0"/>
        <w:snapToGrid w:val="0"/>
        <w:spacing w:afterAutospacing="0" w:line="600" w:lineRule="exact"/>
        <w:ind w:left="883" w:leftChars="0" w:firstLine="640" w:firstLineChars="200"/>
        <w:jc w:val="center"/>
        <w:textAlignment w:val="auto"/>
        <w:rPr>
          <w:rFonts w:hint="eastAsia" w:ascii="黑体" w:hAnsi="ˎ̥" w:eastAsia="黑体" w:cs="黑体"/>
          <w:sz w:val="32"/>
          <w:szCs w:val="32"/>
          <w:shd w:val="clear" w:color="auto" w:fill="FFFFFF"/>
        </w:rPr>
      </w:pPr>
    </w:p>
    <w:p>
      <w:pPr>
        <w:keepNext/>
        <w:keepLines w:val="0"/>
        <w:pageBreakBefore w:val="0"/>
        <w:widowControl w:val="0"/>
        <w:numPr>
          <w:ilvl w:val="0"/>
          <w:numId w:val="0"/>
        </w:numPr>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lang w:val="en-US" w:eastAsia="zh-CN"/>
        </w:rPr>
        <w:t>一、</w:t>
      </w:r>
      <w:r>
        <w:rPr>
          <w:rFonts w:hint="eastAsia" w:ascii="黑体" w:hAnsi="宋体" w:eastAsia="黑体" w:cs="黑体"/>
          <w:bCs/>
          <w:sz w:val="32"/>
          <w:szCs w:val="32"/>
          <w:shd w:val="clear" w:color="auto" w:fill="FFFFFF"/>
        </w:rPr>
        <w:t>收入支出总体情况说明</w:t>
      </w:r>
    </w:p>
    <w:p>
      <w:pPr>
        <w:keepNext/>
        <w:keepLines w:val="0"/>
        <w:pageBreakBefore w:val="0"/>
        <w:widowControl w:val="0"/>
        <w:numPr>
          <w:ilvl w:val="0"/>
          <w:numId w:val="0"/>
        </w:numPr>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2022年度收入总计232.24万元，支出总计232.24万元，与2021年度相比，收入、支出总计各增加157.72万元，增长211.65%。主要原因：一是因育儿与教师增加，人员类支出有所增长，我单位主要靠一般公共预算财政拨款收入为主，故本年收入增加；二是因补发部分人员以及新增人员绩效工资，故本年支出增加。使用非财政拨款结余0.00万元，较2021年度决算数未有变动，主要原因是新单位。年初结转结余0.00万元，较2021年度决算数未有变动，主要原因是新单位。结余分配0万元，较2021年度决算数减少0.01万元，下降100%，主要原因是</w:t>
      </w:r>
      <w:r>
        <w:rPr>
          <w:rFonts w:hint="eastAsia" w:ascii="仿宋_GB2312" w:hAnsi="ˎ̥" w:eastAsia="仿宋_GB2312" w:cs="仿宋_GB2312"/>
          <w:sz w:val="32"/>
          <w:szCs w:val="32"/>
          <w:shd w:val="clear" w:color="auto" w:fill="FFFFFF"/>
          <w:lang w:val="en-US" w:eastAsia="zh-CN"/>
        </w:rPr>
        <w:t>已经用于</w:t>
      </w:r>
      <w:r>
        <w:rPr>
          <w:rFonts w:hint="eastAsia" w:ascii="仿宋_GB2312" w:hAnsi="ˎ̥" w:eastAsia="仿宋_GB2312" w:cs="仿宋_GB2312"/>
          <w:sz w:val="32"/>
          <w:szCs w:val="32"/>
          <w:shd w:val="clear" w:color="auto" w:fill="FFFFFF"/>
        </w:rPr>
        <w:t>支付银行手续费。年末结转结余0万元，较2021年度决算数减少0.13万元，下降100%，主要原因是上年度上年度余额0.13万元属于事业收入，今年幼儿园业务运行已支出，所以年末结转结余减少。</w:t>
      </w:r>
    </w:p>
    <w:p>
      <w:pPr>
        <w:keepNext/>
        <w:keepLines w:val="0"/>
        <w:pageBreakBefore w:val="0"/>
        <w:widowControl w:val="0"/>
        <w:numPr>
          <w:ilvl w:val="0"/>
          <w:numId w:val="0"/>
        </w:numPr>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（注：2022年度相关决算数据可取自附件财决公开01表；2021年度相关决算数据可取自2021年度部门决算报表财决01表《收入支出决算总表》）</w:t>
      </w:r>
    </w:p>
    <w:p>
      <w:pPr>
        <w:keepNext/>
        <w:keepLines w:val="0"/>
        <w:pageBreakBefore w:val="0"/>
        <w:widowControl w:val="0"/>
        <w:numPr>
          <w:ilvl w:val="0"/>
          <w:numId w:val="0"/>
        </w:numPr>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lang w:val="en-US" w:eastAsia="zh-CN"/>
        </w:rPr>
        <w:t>二、</w:t>
      </w:r>
      <w:r>
        <w:rPr>
          <w:rFonts w:hint="eastAsia" w:ascii="黑体" w:hAnsi="宋体" w:eastAsia="黑体" w:cs="黑体"/>
          <w:bCs/>
          <w:sz w:val="32"/>
          <w:szCs w:val="32"/>
          <w:shd w:val="clear" w:color="auto" w:fill="FFFFFF"/>
        </w:rPr>
        <w:t>收入决算情况说明</w:t>
      </w:r>
    </w:p>
    <w:p>
      <w:pPr>
        <w:keepNext/>
        <w:keepLines w:val="0"/>
        <w:pageBreakBefore w:val="0"/>
        <w:widowControl w:val="0"/>
        <w:numPr>
          <w:ilvl w:val="0"/>
          <w:numId w:val="0"/>
        </w:numPr>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本年收入合计232.23万元，其中：财政拨款收入232.21万元，占99.99%；其他收入0.02万元，占0.01%。</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（注：上述各项收入数字可取自财决公开02表）</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rPr>
        <w:t>三、支出决算情况说明</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本年支出合计232.24万元，其中：基本支出23.97万元，占10.32%；项目支出208.26万元，占89.68%。</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（注：上述各项支出数字可取自财决公开03表）</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rPr>
        <w:t>四、财政拨款收入支出决算总体情况说明</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2022年度财政拨款收入232.21万元，支出232.21万元。与2021年度相比，财政拨款收入、支出各增加171.22万元，增长280.73%。主要原因：一是因育儿与教师增加，人员类支出有所增长，我单位主要靠一般公共预算财政拨付款收入为主，故本年收入增加；二是因补发部分人员以及新增人员绩效工资，导致本年支出增加。</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财政拨款年初结转结余0万元，较2021年度决算数未有变动，主要原因是新单位。</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财政拨款年末结转结余0万元，较2021年度决算数未有变动，主要原因是新单位。</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（注：2022年度决算相关数据可取自财决公开04表。2021年度决算相关数据可取自2021年度部门决算报表财决01-1表《财政拨款收入支出决算总表》）</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rPr>
        <w:t>五、一般公共预算财政拨款支出决算情况说明</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楷体" w:hAnsi="楷体" w:eastAsia="楷体" w:cs="楷体"/>
          <w:sz w:val="32"/>
          <w:szCs w:val="32"/>
          <w:shd w:val="clear" w:color="auto" w:fill="FFFFFF"/>
        </w:rPr>
      </w:pPr>
      <w:bookmarkStart w:id="77" w:name="_Toc13694_WPSOffice_Level2"/>
      <w:bookmarkStart w:id="78" w:name="_Toc17398_WPSOffice_Level2"/>
      <w:bookmarkStart w:id="79" w:name="_Toc9989_WPSOffice_Level2"/>
      <w:bookmarkStart w:id="80" w:name="_Toc23005_WPSOffice_Level2"/>
      <w:bookmarkStart w:id="81" w:name="_Toc19665_WPSOffice_Level2"/>
      <w:bookmarkStart w:id="82" w:name="_Toc21737_WPSOffice_Level2"/>
      <w:r>
        <w:rPr>
          <w:rFonts w:hint="eastAsia" w:ascii="楷体" w:hAnsi="楷体" w:eastAsia="楷体" w:cs="楷体"/>
          <w:sz w:val="32"/>
          <w:szCs w:val="32"/>
          <w:shd w:val="clear" w:color="auto" w:fill="FFFFFF"/>
        </w:rPr>
        <w:t>（一）一般公共预算财政拨款支出决算总体情况</w:t>
      </w:r>
      <w:bookmarkEnd w:id="77"/>
      <w:bookmarkEnd w:id="78"/>
      <w:bookmarkEnd w:id="79"/>
      <w:bookmarkEnd w:id="80"/>
      <w:bookmarkEnd w:id="81"/>
      <w:bookmarkEnd w:id="82"/>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2022年度一般公共预算财政拨款支出232.21万元，占本年支出合计的99.99%。与2021年度相比，一般公共预算财政拨款支出增加171.22万元，增长280.73%，主要原因是一是因育儿与教师增加，人员类支出有所增长，我单位主要靠一般公共预算财政拨付款收入为主，故本年收入增加；二是因补发部分人员以及新增人员绩效工资，导致本年支出增加。</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楷体" w:hAnsi="楷体" w:eastAsia="楷体" w:cs="楷体"/>
          <w:sz w:val="32"/>
          <w:szCs w:val="32"/>
          <w:shd w:val="clear" w:color="auto" w:fill="FFFFFF"/>
        </w:rPr>
      </w:pPr>
      <w:bookmarkStart w:id="83" w:name="_Toc2711_WPSOffice_Level2"/>
      <w:bookmarkStart w:id="84" w:name="_Toc18793_WPSOffice_Level2"/>
      <w:bookmarkStart w:id="85" w:name="_Toc19075_WPSOffice_Level2"/>
      <w:bookmarkStart w:id="86" w:name="_Toc23864_WPSOffice_Level2"/>
      <w:bookmarkStart w:id="87" w:name="_Toc27767_WPSOffice_Level2"/>
      <w:bookmarkStart w:id="88" w:name="_Toc19535_WPSOffice_Level2"/>
      <w:r>
        <w:rPr>
          <w:rFonts w:hint="eastAsia" w:ascii="楷体" w:hAnsi="楷体" w:eastAsia="楷体" w:cs="楷体"/>
          <w:sz w:val="32"/>
          <w:szCs w:val="32"/>
          <w:shd w:val="clear" w:color="auto" w:fill="FFFFFF"/>
        </w:rPr>
        <w:t>（二）一般公共预算财政拨款支出决算结构情况</w:t>
      </w:r>
      <w:bookmarkEnd w:id="83"/>
      <w:bookmarkEnd w:id="84"/>
      <w:bookmarkEnd w:id="85"/>
      <w:bookmarkEnd w:id="86"/>
      <w:bookmarkEnd w:id="87"/>
      <w:bookmarkEnd w:id="88"/>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lang w:eastAsia="zh-CN"/>
        </w:rPr>
      </w:pPr>
      <w:r>
        <w:rPr>
          <w:rFonts w:hint="eastAsia" w:ascii="仿宋_GB2312" w:hAnsi="ˎ̥" w:eastAsia="仿宋_GB2312" w:cs="仿宋_GB2312"/>
          <w:sz w:val="32"/>
          <w:szCs w:val="32"/>
          <w:shd w:val="clear" w:color="auto" w:fill="FFFFFF"/>
        </w:rPr>
        <w:t>2022年度一般公共预算财政拨款支出232.21万元，主要用于以下方面：</w:t>
      </w:r>
      <w:r>
        <w:rPr>
          <w:rFonts w:hint="eastAsia" w:ascii="仿宋_GB2312" w:hAnsi="ˎ̥" w:eastAsia="仿宋_GB2312" w:cs="仿宋_GB2312"/>
          <w:b/>
          <w:sz w:val="32"/>
          <w:szCs w:val="32"/>
          <w:shd w:val="clear" w:color="auto" w:fill="FFFFFF"/>
        </w:rPr>
        <w:t>教育支出（类）</w:t>
      </w:r>
      <w:r>
        <w:rPr>
          <w:rFonts w:hint="eastAsia" w:ascii="仿宋_GB2312" w:hAnsi="ˎ̥" w:eastAsia="仿宋_GB2312" w:cs="仿宋_GB2312"/>
          <w:sz w:val="32"/>
          <w:szCs w:val="32"/>
          <w:shd w:val="clear" w:color="auto" w:fill="FFFFFF"/>
        </w:rPr>
        <w:t>支出226.64万元，占97.60%；</w:t>
      </w:r>
      <w:r>
        <w:rPr>
          <w:rFonts w:hint="eastAsia" w:ascii="仿宋_GB2312" w:hAnsi="ˎ̥" w:eastAsia="仿宋_GB2312" w:cs="仿宋_GB2312"/>
          <w:b/>
          <w:sz w:val="32"/>
          <w:szCs w:val="32"/>
          <w:shd w:val="clear" w:color="auto" w:fill="FFFFFF"/>
        </w:rPr>
        <w:t>社会保障和就业（类）</w:t>
      </w:r>
      <w:r>
        <w:rPr>
          <w:rFonts w:hint="eastAsia" w:ascii="仿宋_GB2312" w:hAnsi="ˎ̥" w:eastAsia="仿宋_GB2312" w:cs="仿宋_GB2312"/>
          <w:sz w:val="32"/>
          <w:szCs w:val="32"/>
          <w:shd w:val="clear" w:color="auto" w:fill="FFFFFF"/>
        </w:rPr>
        <w:t>支出1.93万元，占0.83%；</w:t>
      </w:r>
      <w:r>
        <w:rPr>
          <w:rFonts w:hint="eastAsia" w:ascii="仿宋_GB2312" w:hAnsi="ˎ̥" w:eastAsia="仿宋_GB2312" w:cs="仿宋_GB2312"/>
          <w:b/>
          <w:bCs/>
          <w:sz w:val="32"/>
          <w:szCs w:val="32"/>
          <w:shd w:val="clear" w:color="auto" w:fill="FFFFFF"/>
        </w:rPr>
        <w:t>卫生健康自支出（类）</w:t>
      </w:r>
      <w:r>
        <w:rPr>
          <w:rFonts w:hint="eastAsia" w:ascii="仿宋_GB2312" w:hAnsi="ˎ̥" w:eastAsia="仿宋_GB2312" w:cs="仿宋_GB2312"/>
          <w:sz w:val="32"/>
          <w:szCs w:val="32"/>
          <w:shd w:val="clear" w:color="auto" w:fill="FFFFFF"/>
        </w:rPr>
        <w:t>支出1.95万元，占0.84%；</w:t>
      </w:r>
      <w:r>
        <w:rPr>
          <w:rFonts w:hint="eastAsia" w:ascii="仿宋_GB2312" w:hAnsi="ˎ̥" w:eastAsia="仿宋_GB2312" w:cs="仿宋_GB2312"/>
          <w:b/>
          <w:bCs/>
          <w:sz w:val="32"/>
          <w:szCs w:val="32"/>
          <w:shd w:val="clear" w:color="auto" w:fill="FFFFFF"/>
        </w:rPr>
        <w:t>住房保障（类）</w:t>
      </w:r>
      <w:r>
        <w:rPr>
          <w:rFonts w:hint="eastAsia" w:ascii="仿宋_GB2312" w:hAnsi="ˎ̥" w:eastAsia="仿宋_GB2312" w:cs="仿宋_GB2312"/>
          <w:sz w:val="32"/>
          <w:szCs w:val="32"/>
          <w:shd w:val="clear" w:color="auto" w:fill="FFFFFF"/>
        </w:rPr>
        <w:t>支出1.69万元，占0.73%</w:t>
      </w:r>
      <w:r>
        <w:rPr>
          <w:rFonts w:hint="eastAsia" w:ascii="仿宋_GB2312" w:hAnsi="ˎ̥" w:eastAsia="仿宋_GB2312" w:cs="仿宋_GB2312"/>
          <w:sz w:val="32"/>
          <w:szCs w:val="32"/>
          <w:shd w:val="clear" w:color="auto" w:fill="FFFFFF"/>
          <w:lang w:eastAsia="zh-CN"/>
        </w:rPr>
        <w:t>。</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（注：根据各部门（单位）实际支出涉及的支出功能分类类级科目填列）</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楷体" w:hAnsi="楷体" w:eastAsia="楷体" w:cs="楷体"/>
          <w:sz w:val="32"/>
          <w:szCs w:val="32"/>
          <w:shd w:val="clear" w:color="auto" w:fill="FFFFFF"/>
        </w:rPr>
      </w:pPr>
      <w:bookmarkStart w:id="89" w:name="_Toc25136_WPSOffice_Level2"/>
      <w:bookmarkStart w:id="90" w:name="_Toc21701_WPSOffice_Level2"/>
      <w:bookmarkStart w:id="91" w:name="_Toc29364_WPSOffice_Level2"/>
      <w:bookmarkStart w:id="92" w:name="_Toc15415_WPSOffice_Level2"/>
      <w:bookmarkStart w:id="93" w:name="_Toc9502_WPSOffice_Level2"/>
      <w:bookmarkStart w:id="94" w:name="_Toc22318_WPSOffice_Level2"/>
      <w:r>
        <w:rPr>
          <w:rFonts w:hint="eastAsia" w:ascii="楷体" w:hAnsi="楷体" w:eastAsia="楷体" w:cs="楷体"/>
          <w:sz w:val="32"/>
          <w:szCs w:val="32"/>
          <w:shd w:val="clear" w:color="auto" w:fill="FFFFFF"/>
        </w:rPr>
        <w:t>（三）一般公共预算财政拨款支出决算具体情况</w:t>
      </w:r>
      <w:bookmarkEnd w:id="89"/>
      <w:bookmarkEnd w:id="90"/>
      <w:bookmarkEnd w:id="91"/>
      <w:bookmarkEnd w:id="92"/>
      <w:bookmarkEnd w:id="93"/>
      <w:bookmarkEnd w:id="94"/>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2022年度一般公共预算财政拨款支出年初预算为232.31万元，支出决算为232.21万元，完成年初预算的99.96%。其中：</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b/>
          <w:sz w:val="32"/>
          <w:szCs w:val="32"/>
          <w:shd w:val="clear" w:color="auto" w:fill="FFFFFF"/>
        </w:rPr>
      </w:pPr>
      <w:r>
        <w:rPr>
          <w:rFonts w:hint="eastAsia" w:ascii="仿宋_GB2312" w:hAnsi="ˎ̥" w:eastAsia="仿宋_GB2312" w:cs="仿宋_GB2312"/>
          <w:sz w:val="32"/>
          <w:szCs w:val="32"/>
          <w:shd w:val="clear" w:color="auto" w:fill="FFFFFF"/>
        </w:rPr>
        <w:t>1.</w:t>
      </w:r>
      <w:r>
        <w:rPr>
          <w:rFonts w:hint="eastAsia" w:ascii="仿宋_GB2312" w:hAnsi="ˎ̥" w:eastAsia="仿宋_GB2312" w:cs="仿宋_GB2312"/>
          <w:b/>
          <w:sz w:val="32"/>
          <w:szCs w:val="32"/>
          <w:shd w:val="clear" w:color="auto" w:fill="FFFFFF"/>
        </w:rPr>
        <w:t>一般教育支出（类）普通教育（款）学前教育（项）</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default" w:ascii="仿宋_GB2312" w:hAnsi="ˎ̥" w:eastAsia="仿宋_GB2312" w:cs="仿宋_GB2312"/>
          <w:sz w:val="32"/>
          <w:szCs w:val="32"/>
          <w:lang w:val="en-US" w:eastAsia="zh-CN"/>
        </w:rPr>
      </w:pPr>
      <w:r>
        <w:rPr>
          <w:rFonts w:hint="eastAsia" w:ascii="仿宋_GB2312" w:hAnsi="ˎ̥" w:eastAsia="仿宋_GB2312" w:cs="仿宋_GB2312"/>
          <w:sz w:val="32"/>
          <w:szCs w:val="32"/>
        </w:rPr>
        <w:t>年初预算为228.79万元，支出决算为226.64万元，完成年初预算的98.89%。</w:t>
      </w:r>
      <w:r>
        <w:rPr>
          <w:rFonts w:hint="eastAsia" w:ascii="仿宋_GB2312" w:hAnsi="ˎ̥" w:eastAsia="仿宋_GB2312" w:cs="仿宋_GB2312"/>
          <w:sz w:val="32"/>
          <w:szCs w:val="32"/>
          <w:lang w:val="en-US" w:eastAsia="zh-CN"/>
        </w:rPr>
        <w:t>本年度较好的完成年初预算安排，部分支出例行节约，节省了小部分资金</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3" w:firstLineChars="200"/>
        <w:textAlignment w:val="auto"/>
        <w:rPr>
          <w:rFonts w:hint="eastAsia" w:ascii="仿宋_GB2312" w:hAnsi="ˎ̥" w:eastAsia="仿宋_GB2312" w:cs="仿宋_GB2312"/>
          <w:b/>
          <w:bCs/>
          <w:sz w:val="32"/>
          <w:szCs w:val="32"/>
          <w:shd w:val="clear" w:color="auto" w:fill="FFFFFF"/>
        </w:rPr>
      </w:pPr>
      <w:r>
        <w:rPr>
          <w:rFonts w:hint="eastAsia" w:ascii="仿宋_GB2312" w:hAnsi="ˎ̥" w:eastAsia="仿宋_GB2312" w:cs="仿宋_GB2312"/>
          <w:b/>
          <w:bCs/>
          <w:sz w:val="32"/>
          <w:szCs w:val="32"/>
          <w:shd w:val="clear" w:color="auto" w:fill="FFFFFF"/>
        </w:rPr>
        <w:t xml:space="preserve">2.社会保障和就业支出（类）行政事业单位养老支出（款）机关事业单位基本养老保险缴费支出（项） </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年初预算为1.08万元，支出决算为1.93万元，完成预算的178.70%。决算数大于预算数的主要原因是因：</w:t>
      </w:r>
      <w:r>
        <w:rPr>
          <w:rFonts w:hint="eastAsia" w:ascii="仿宋_GB2312" w:hAnsi="ˎ̥" w:eastAsia="仿宋_GB2312" w:cs="仿宋_GB2312"/>
          <w:sz w:val="32"/>
          <w:szCs w:val="32"/>
          <w:shd w:val="clear" w:color="auto" w:fill="FFFFFF"/>
          <w:lang w:val="en-US" w:eastAsia="zh-CN"/>
        </w:rPr>
        <w:t>年中</w:t>
      </w:r>
      <w:r>
        <w:rPr>
          <w:rFonts w:hint="eastAsia" w:ascii="仿宋_GB2312" w:hAnsi="ˎ̥" w:eastAsia="仿宋_GB2312" w:cs="仿宋_GB2312"/>
          <w:sz w:val="32"/>
          <w:szCs w:val="32"/>
          <w:shd w:val="clear" w:color="auto" w:fill="FFFFFF"/>
        </w:rPr>
        <w:t>人员增加，</w:t>
      </w:r>
      <w:r>
        <w:rPr>
          <w:rFonts w:hint="eastAsia" w:ascii="仿宋_GB2312" w:hAnsi="ˎ̥" w:eastAsia="仿宋_GB2312" w:cs="仿宋_GB2312"/>
          <w:sz w:val="32"/>
          <w:szCs w:val="32"/>
          <w:shd w:val="clear" w:color="auto" w:fill="FFFFFF"/>
          <w:lang w:val="en-US" w:eastAsia="zh-CN"/>
        </w:rPr>
        <w:t>为保障员工的合法权益，对应增加了</w:t>
      </w:r>
      <w:r>
        <w:rPr>
          <w:rFonts w:hint="eastAsia" w:ascii="仿宋_GB2312" w:hAnsi="ˎ̥" w:eastAsia="仿宋_GB2312" w:cs="仿宋_GB2312"/>
          <w:sz w:val="32"/>
          <w:szCs w:val="32"/>
          <w:shd w:val="clear" w:color="auto" w:fill="FFFFFF"/>
        </w:rPr>
        <w:t>机关事业单位基本养老保险缴费支出。</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3" w:firstLineChars="200"/>
        <w:textAlignment w:val="auto"/>
        <w:rPr>
          <w:rFonts w:hint="eastAsia" w:ascii="仿宋_GB2312" w:hAnsi="ˎ̥" w:eastAsia="仿宋_GB2312" w:cs="仿宋_GB2312"/>
          <w:b/>
          <w:bCs/>
          <w:sz w:val="32"/>
          <w:szCs w:val="32"/>
          <w:shd w:val="clear" w:color="auto" w:fill="FFFFFF"/>
        </w:rPr>
      </w:pPr>
      <w:r>
        <w:rPr>
          <w:rFonts w:hint="eastAsia" w:ascii="仿宋_GB2312" w:hAnsi="ˎ̥" w:eastAsia="仿宋_GB2312" w:cs="仿宋_GB2312"/>
          <w:b/>
          <w:bCs/>
          <w:sz w:val="32"/>
          <w:szCs w:val="32"/>
          <w:shd w:val="clear" w:color="auto" w:fill="FFFFFF"/>
        </w:rPr>
        <w:t>3.卫生健康支出（类）行政事业单位医疗（款）事业单位医疗（项）</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年初预算为0.57万元，支出决算为0.9万元，完成年初预算的157.89%。决算数大于预算数的主要原因：因人员增加，事业单位医疗支出年终进行了追加。</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3" w:firstLineChars="200"/>
        <w:textAlignment w:val="auto"/>
        <w:rPr>
          <w:rFonts w:hint="eastAsia" w:ascii="仿宋_GB2312" w:hAnsi="ˎ̥" w:eastAsia="仿宋_GB2312" w:cs="仿宋_GB2312"/>
          <w:b/>
          <w:bCs/>
          <w:sz w:val="32"/>
          <w:szCs w:val="32"/>
          <w:shd w:val="clear" w:color="auto" w:fill="FFFFFF"/>
        </w:rPr>
      </w:pPr>
      <w:r>
        <w:rPr>
          <w:rFonts w:hint="eastAsia" w:ascii="仿宋_GB2312" w:hAnsi="ˎ̥" w:eastAsia="仿宋_GB2312" w:cs="仿宋_GB2312"/>
          <w:b/>
          <w:bCs/>
          <w:sz w:val="32"/>
          <w:szCs w:val="32"/>
          <w:shd w:val="clear" w:color="auto" w:fill="FFFFFF"/>
        </w:rPr>
        <w:t>4.卫生健康支出（类）行政事业单位医疗（款）公务员补助（项）</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年初预算为0.9万元，支出决算为1.05万元，完成年初预算的116.67%。决算数大于预算书的主要原因：</w:t>
      </w:r>
      <w:r>
        <w:rPr>
          <w:rFonts w:hint="eastAsia" w:ascii="仿宋_GB2312" w:hAnsi="ˎ̥" w:eastAsia="仿宋_GB2312" w:cs="仿宋_GB2312"/>
          <w:sz w:val="32"/>
          <w:szCs w:val="32"/>
          <w:shd w:val="clear" w:color="auto" w:fill="FFFFFF"/>
          <w:lang w:val="en-US" w:eastAsia="zh-CN"/>
        </w:rPr>
        <w:t>年中</w:t>
      </w:r>
      <w:r>
        <w:rPr>
          <w:rFonts w:hint="eastAsia" w:ascii="仿宋_GB2312" w:hAnsi="ˎ̥" w:eastAsia="仿宋_GB2312" w:cs="仿宋_GB2312"/>
          <w:sz w:val="32"/>
          <w:szCs w:val="32"/>
          <w:shd w:val="clear" w:color="auto" w:fill="FFFFFF"/>
        </w:rPr>
        <w:t>人员增加，</w:t>
      </w:r>
      <w:r>
        <w:rPr>
          <w:rFonts w:hint="eastAsia" w:ascii="仿宋_GB2312" w:hAnsi="ˎ̥" w:eastAsia="仿宋_GB2312" w:cs="仿宋_GB2312"/>
          <w:sz w:val="32"/>
          <w:szCs w:val="32"/>
          <w:shd w:val="clear" w:color="auto" w:fill="FFFFFF"/>
          <w:lang w:val="en-US" w:eastAsia="zh-CN"/>
        </w:rPr>
        <w:t>为保障员工的合法权益，对应增加了</w:t>
      </w:r>
      <w:r>
        <w:rPr>
          <w:rFonts w:hint="eastAsia" w:ascii="仿宋_GB2312" w:hAnsi="ˎ̥" w:eastAsia="仿宋_GB2312" w:cs="仿宋_GB2312"/>
          <w:sz w:val="32"/>
          <w:szCs w:val="32"/>
          <w:shd w:val="clear" w:color="auto" w:fill="FFFFFF"/>
        </w:rPr>
        <w:t>公务员补助支出。</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3" w:firstLineChars="200"/>
        <w:textAlignment w:val="auto"/>
        <w:rPr>
          <w:rFonts w:hint="eastAsia" w:ascii="仿宋_GB2312" w:hAnsi="ˎ̥" w:eastAsia="仿宋_GB2312" w:cs="仿宋_GB2312"/>
          <w:b/>
          <w:bCs/>
          <w:sz w:val="32"/>
          <w:szCs w:val="32"/>
          <w:shd w:val="clear" w:color="auto" w:fill="FFFFFF"/>
        </w:rPr>
      </w:pPr>
      <w:r>
        <w:rPr>
          <w:rFonts w:hint="eastAsia" w:ascii="仿宋_GB2312" w:hAnsi="ˎ̥" w:eastAsia="仿宋_GB2312" w:cs="仿宋_GB2312"/>
          <w:b/>
          <w:bCs/>
          <w:sz w:val="32"/>
          <w:szCs w:val="32"/>
          <w:shd w:val="clear" w:color="auto" w:fill="FFFFFF"/>
        </w:rPr>
        <w:t>5.住房保障支出（类）住房改革支出（款）住房公积金（项）</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年初预算为0.94万元，支出决算为1.69万元，完成年初测算的179.79%，决算数大于预算数的主要原因：年中人员有所增加，对应的住房公积金年中进行了追加。</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（注：本部分支出决算数字可取自财决公开05表，年初预算数可取自各部门（单位）年初预算大本，根据各部门（单位）实际支出涉及的支出功能分类项级科目填列）</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rPr>
        <w:t>六、一般公共预算财政拨款基本支出决算情况说明</w:t>
      </w:r>
    </w:p>
    <w:p>
      <w:pPr>
        <w:keepNext/>
        <w:keepLines w:val="0"/>
        <w:pageBreakBefore w:val="0"/>
        <w:widowControl w:val="0"/>
        <w:tabs>
          <w:tab w:val="center" w:pos="4473"/>
        </w:tabs>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2022年度财政拨款基本支出23.95万元，其中：人员经费23.74万元，主要包括：工资福利支出中的基本工资5.32</w:t>
      </w:r>
      <w:r>
        <w:rPr>
          <w:rFonts w:hint="eastAsia" w:ascii="仿宋_GB2312" w:hAnsi="ˎ̥" w:eastAsia="仿宋_GB2312" w:cs="仿宋_GB2312"/>
          <w:sz w:val="32"/>
          <w:szCs w:val="32"/>
          <w:shd w:val="clear" w:color="auto" w:fill="FFFFFF"/>
          <w:lang w:val="en-US" w:eastAsia="zh-CN"/>
        </w:rPr>
        <w:t>万元</w:t>
      </w:r>
      <w:r>
        <w:rPr>
          <w:rFonts w:hint="eastAsia" w:ascii="仿宋_GB2312" w:hAnsi="ˎ̥" w:eastAsia="仿宋_GB2312" w:cs="仿宋_GB2312"/>
          <w:sz w:val="32"/>
          <w:szCs w:val="32"/>
          <w:shd w:val="clear" w:color="auto" w:fill="FFFFFF"/>
        </w:rPr>
        <w:t>、津贴补贴2.6</w:t>
      </w:r>
      <w:r>
        <w:rPr>
          <w:rFonts w:hint="eastAsia" w:ascii="仿宋_GB2312" w:hAnsi="ˎ̥" w:eastAsia="仿宋_GB2312" w:cs="仿宋_GB2312"/>
          <w:sz w:val="32"/>
          <w:szCs w:val="32"/>
          <w:shd w:val="clear" w:color="auto" w:fill="FFFFFF"/>
          <w:lang w:val="en-US" w:eastAsia="zh-CN"/>
        </w:rPr>
        <w:t>万元</w:t>
      </w:r>
      <w:r>
        <w:rPr>
          <w:rFonts w:hint="eastAsia" w:ascii="仿宋_GB2312" w:hAnsi="ˎ̥" w:eastAsia="仿宋_GB2312" w:cs="仿宋_GB2312"/>
          <w:sz w:val="32"/>
          <w:szCs w:val="32"/>
          <w:shd w:val="clear" w:color="auto" w:fill="FFFFFF"/>
        </w:rPr>
        <w:t>、绩效工资7.72</w:t>
      </w:r>
      <w:r>
        <w:rPr>
          <w:rFonts w:hint="eastAsia" w:ascii="仿宋_GB2312" w:hAnsi="ˎ̥" w:eastAsia="仿宋_GB2312" w:cs="仿宋_GB2312"/>
          <w:sz w:val="32"/>
          <w:szCs w:val="32"/>
          <w:shd w:val="clear" w:color="auto" w:fill="FFFFFF"/>
          <w:lang w:val="en-US" w:eastAsia="zh-CN"/>
        </w:rPr>
        <w:t>万元</w:t>
      </w:r>
      <w:r>
        <w:rPr>
          <w:rFonts w:hint="eastAsia" w:ascii="仿宋_GB2312" w:hAnsi="ˎ̥" w:eastAsia="仿宋_GB2312" w:cs="仿宋_GB2312"/>
          <w:sz w:val="32"/>
          <w:szCs w:val="32"/>
          <w:shd w:val="clear" w:color="auto" w:fill="FFFFFF"/>
        </w:rPr>
        <w:t>、机关事业单位基本养老保险缴费1.93</w:t>
      </w:r>
      <w:r>
        <w:rPr>
          <w:rFonts w:hint="eastAsia" w:ascii="仿宋_GB2312" w:hAnsi="ˎ̥" w:eastAsia="仿宋_GB2312" w:cs="仿宋_GB2312"/>
          <w:sz w:val="32"/>
          <w:szCs w:val="32"/>
          <w:shd w:val="clear" w:color="auto" w:fill="FFFFFF"/>
          <w:lang w:val="en-US" w:eastAsia="zh-CN"/>
        </w:rPr>
        <w:t>万元</w:t>
      </w:r>
      <w:r>
        <w:rPr>
          <w:rFonts w:hint="eastAsia" w:ascii="仿宋_GB2312" w:hAnsi="ˎ̥" w:eastAsia="仿宋_GB2312" w:cs="仿宋_GB2312"/>
          <w:sz w:val="32"/>
          <w:szCs w:val="32"/>
          <w:shd w:val="clear" w:color="auto" w:fill="FFFFFF"/>
        </w:rPr>
        <w:t>、职工基本医疗保险缴费0.9</w:t>
      </w:r>
      <w:r>
        <w:rPr>
          <w:rFonts w:hint="eastAsia" w:ascii="仿宋_GB2312" w:hAnsi="ˎ̥" w:eastAsia="仿宋_GB2312" w:cs="仿宋_GB2312"/>
          <w:sz w:val="32"/>
          <w:szCs w:val="32"/>
          <w:shd w:val="clear" w:color="auto" w:fill="FFFFFF"/>
          <w:lang w:val="en-US" w:eastAsia="zh-CN"/>
        </w:rPr>
        <w:t>万元</w:t>
      </w:r>
      <w:r>
        <w:rPr>
          <w:rFonts w:hint="eastAsia" w:ascii="仿宋_GB2312" w:hAnsi="ˎ̥" w:eastAsia="仿宋_GB2312" w:cs="仿宋_GB2312"/>
          <w:sz w:val="32"/>
          <w:szCs w:val="32"/>
          <w:shd w:val="clear" w:color="auto" w:fill="FFFFFF"/>
        </w:rPr>
        <w:t>、公务员医疗补助缴费1.05</w:t>
      </w:r>
      <w:r>
        <w:rPr>
          <w:rFonts w:hint="eastAsia" w:ascii="仿宋_GB2312" w:hAnsi="ˎ̥" w:eastAsia="仿宋_GB2312" w:cs="仿宋_GB2312"/>
          <w:sz w:val="32"/>
          <w:szCs w:val="32"/>
          <w:shd w:val="clear" w:color="auto" w:fill="FFFFFF"/>
          <w:lang w:val="en-US" w:eastAsia="zh-CN"/>
        </w:rPr>
        <w:t>万元</w:t>
      </w:r>
      <w:r>
        <w:rPr>
          <w:rFonts w:hint="eastAsia" w:ascii="仿宋_GB2312" w:hAnsi="ˎ̥" w:eastAsia="仿宋_GB2312" w:cs="仿宋_GB2312"/>
          <w:sz w:val="32"/>
          <w:szCs w:val="32"/>
          <w:shd w:val="clear" w:color="auto" w:fill="FFFFFF"/>
        </w:rPr>
        <w:t>、其他社会保障缴费0.06</w:t>
      </w:r>
      <w:r>
        <w:rPr>
          <w:rFonts w:hint="eastAsia" w:ascii="仿宋_GB2312" w:hAnsi="ˎ̥" w:eastAsia="仿宋_GB2312" w:cs="仿宋_GB2312"/>
          <w:sz w:val="32"/>
          <w:szCs w:val="32"/>
          <w:shd w:val="clear" w:color="auto" w:fill="FFFFFF"/>
          <w:lang w:val="en-US" w:eastAsia="zh-CN"/>
        </w:rPr>
        <w:t>万元</w:t>
      </w:r>
      <w:r>
        <w:rPr>
          <w:rFonts w:hint="eastAsia" w:ascii="仿宋_GB2312" w:hAnsi="ˎ̥" w:eastAsia="仿宋_GB2312" w:cs="仿宋_GB2312"/>
          <w:sz w:val="32"/>
          <w:szCs w:val="32"/>
          <w:shd w:val="clear" w:color="auto" w:fill="FFFFFF"/>
        </w:rPr>
        <w:t>、住房公积金1.69</w:t>
      </w:r>
      <w:r>
        <w:rPr>
          <w:rFonts w:hint="eastAsia" w:ascii="仿宋_GB2312" w:hAnsi="ˎ̥" w:eastAsia="仿宋_GB2312" w:cs="仿宋_GB2312"/>
          <w:sz w:val="32"/>
          <w:szCs w:val="32"/>
          <w:shd w:val="clear" w:color="auto" w:fill="FFFFFF"/>
          <w:lang w:val="en-US" w:eastAsia="zh-CN"/>
        </w:rPr>
        <w:t>万元</w:t>
      </w:r>
      <w:r>
        <w:rPr>
          <w:rFonts w:hint="eastAsia" w:ascii="仿宋_GB2312" w:hAnsi="ˎ̥" w:eastAsia="仿宋_GB2312" w:cs="仿宋_GB2312"/>
          <w:sz w:val="32"/>
          <w:szCs w:val="32"/>
          <w:shd w:val="clear" w:color="auto" w:fill="FFFFFF"/>
        </w:rPr>
        <w:t>、其他工资福利支出2.47</w:t>
      </w:r>
      <w:r>
        <w:rPr>
          <w:rFonts w:hint="eastAsia" w:ascii="仿宋_GB2312" w:hAnsi="ˎ̥" w:eastAsia="仿宋_GB2312" w:cs="仿宋_GB2312"/>
          <w:sz w:val="32"/>
          <w:szCs w:val="32"/>
          <w:shd w:val="clear" w:color="auto" w:fill="FFFFFF"/>
          <w:lang w:val="en-US" w:eastAsia="zh-CN"/>
        </w:rPr>
        <w:t>万元</w:t>
      </w:r>
      <w:r>
        <w:rPr>
          <w:rFonts w:hint="eastAsia" w:ascii="仿宋_GB2312" w:hAnsi="ˎ̥" w:eastAsia="仿宋_GB2312" w:cs="仿宋_GB2312"/>
          <w:sz w:val="32"/>
          <w:szCs w:val="32"/>
          <w:shd w:val="clear" w:color="auto" w:fill="FFFFFF"/>
        </w:rPr>
        <w:t>。公用经费0.21万元，主要包括：邮电费0.16</w:t>
      </w:r>
      <w:r>
        <w:rPr>
          <w:rFonts w:hint="eastAsia" w:ascii="仿宋_GB2312" w:hAnsi="ˎ̥" w:eastAsia="仿宋_GB2312" w:cs="仿宋_GB2312"/>
          <w:sz w:val="32"/>
          <w:szCs w:val="32"/>
          <w:shd w:val="clear" w:color="auto" w:fill="FFFFFF"/>
          <w:lang w:val="en-US" w:eastAsia="zh-CN"/>
        </w:rPr>
        <w:t>万元</w:t>
      </w:r>
      <w:r>
        <w:rPr>
          <w:rFonts w:hint="eastAsia" w:ascii="仿宋_GB2312" w:hAnsi="ˎ̥" w:eastAsia="仿宋_GB2312" w:cs="仿宋_GB2312"/>
          <w:sz w:val="32"/>
          <w:szCs w:val="32"/>
          <w:shd w:val="clear" w:color="auto" w:fill="FFFFFF"/>
        </w:rPr>
        <w:t>、工会经费0.05</w:t>
      </w:r>
      <w:r>
        <w:rPr>
          <w:rFonts w:hint="eastAsia" w:ascii="仿宋_GB2312" w:hAnsi="ˎ̥" w:eastAsia="仿宋_GB2312" w:cs="仿宋_GB2312"/>
          <w:sz w:val="32"/>
          <w:szCs w:val="32"/>
          <w:shd w:val="clear" w:color="auto" w:fill="FFFFFF"/>
          <w:lang w:val="en-US" w:eastAsia="zh-CN"/>
        </w:rPr>
        <w:t>万元</w:t>
      </w:r>
      <w:r>
        <w:rPr>
          <w:rFonts w:hint="eastAsia" w:ascii="仿宋_GB2312" w:hAnsi="ˎ̥" w:eastAsia="仿宋_GB2312" w:cs="仿宋_GB2312"/>
          <w:sz w:val="32"/>
          <w:szCs w:val="32"/>
          <w:shd w:val="clear" w:color="auto" w:fill="FFFFFF"/>
        </w:rPr>
        <w:t>。</w:t>
      </w:r>
    </w:p>
    <w:p>
      <w:pPr>
        <w:keepNext/>
        <w:keepLines w:val="0"/>
        <w:pageBreakBefore w:val="0"/>
        <w:widowControl w:val="0"/>
        <w:tabs>
          <w:tab w:val="center" w:pos="4473"/>
        </w:tabs>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（注：上述数字可取自财决公开06表，各部门（单位）根据实际支出情况，选列相应支出经济分类。）</w:t>
      </w:r>
    </w:p>
    <w:p>
      <w:pPr>
        <w:keepNext/>
        <w:keepLines w:val="0"/>
        <w:pageBreakBefore w:val="0"/>
        <w:widowControl w:val="0"/>
        <w:tabs>
          <w:tab w:val="center" w:pos="4473"/>
        </w:tabs>
        <w:kinsoku/>
        <w:wordWrap/>
        <w:overflowPunct/>
        <w:topLinePunct w:val="0"/>
        <w:autoSpaceDE/>
        <w:autoSpaceDN/>
        <w:bidi w:val="0"/>
        <w:adjustRightInd w:val="0"/>
        <w:snapToGrid w:val="0"/>
        <w:spacing w:afterAutospacing="0" w:line="600" w:lineRule="exact"/>
        <w:ind w:firstLine="640" w:firstLineChars="200"/>
        <w:textAlignment w:val="auto"/>
        <w:rPr>
          <w:rFonts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rPr>
        <w:t>七、政府性基金预算财政拨款支出决算情况说明</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（一）政府性基金预算财政拨款支出决算总体情况</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2022年度政府性基金预算财政拨款支出0万元，占本年支出合计的0%。与2021年度相比，政府性基金预算财政拨款支出保持不变。</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（二）政府性基金预算财政拨款支出决算结构情况</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本单位2022年无政府性基金预算财政拨款支出</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（注：根据各部门（单位）实际支出涉及的支出功能分类类级科目填列）</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（三）政府性基金预算财政拨款支出决算具体情况</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无</w:t>
      </w:r>
    </w:p>
    <w:p>
      <w:pPr>
        <w:keepNext/>
        <w:keepLines w:val="0"/>
        <w:pageBreakBefore w:val="0"/>
        <w:widowControl w:val="0"/>
        <w:tabs>
          <w:tab w:val="center" w:pos="4473"/>
        </w:tabs>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lang w:eastAsia="zh-CN"/>
        </w:rPr>
        <w:t>（</w:t>
      </w:r>
      <w:r>
        <w:rPr>
          <w:rFonts w:hint="eastAsia" w:ascii="仿宋_GB2312" w:hAnsi="ˎ̥" w:eastAsia="仿宋_GB2312" w:cs="仿宋_GB2312"/>
          <w:sz w:val="32"/>
          <w:szCs w:val="32"/>
          <w:shd w:val="clear" w:color="auto" w:fill="FFFFFF"/>
        </w:rPr>
        <w:t>注：根据各部门（单位）实际支出涉及的支出功能分类项级科目填列，本部分2022年决算相关数据取自财决公开07表；2021年决算相关数据取自财决09表《政府性基金预算财政拨款收入支出决算表》）</w:t>
      </w:r>
    </w:p>
    <w:p>
      <w:pPr>
        <w:keepNext/>
        <w:keepLines w:val="0"/>
        <w:pageBreakBefore w:val="0"/>
        <w:widowControl w:val="0"/>
        <w:tabs>
          <w:tab w:val="center" w:pos="4473"/>
        </w:tabs>
        <w:kinsoku/>
        <w:wordWrap/>
        <w:overflowPunct/>
        <w:topLinePunct w:val="0"/>
        <w:autoSpaceDE/>
        <w:autoSpaceDN/>
        <w:bidi w:val="0"/>
        <w:adjustRightInd w:val="0"/>
        <w:snapToGrid w:val="0"/>
        <w:spacing w:afterAutospacing="0" w:line="600" w:lineRule="exact"/>
        <w:ind w:firstLine="640" w:firstLineChars="200"/>
        <w:textAlignment w:val="auto"/>
        <w:rPr>
          <w:rFonts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rPr>
        <w:t>八、国有资本经营预算财政拨款支出决算情况说明</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638" w:leftChars="266" w:firstLine="0" w:firstLineChars="0"/>
        <w:textAlignment w:val="auto"/>
        <w:rPr>
          <w:rFonts w:hint="eastAsia" w:ascii="仿宋_GB2312" w:hAnsi="ˎ̥" w:eastAsia="仿宋_GB2312" w:cs="仿宋_GB2312"/>
          <w:sz w:val="32"/>
          <w:szCs w:val="32"/>
          <w:shd w:val="clear" w:color="auto" w:fill="FFFFFF"/>
        </w:rPr>
      </w:pPr>
      <w:r>
        <w:rPr>
          <w:rFonts w:hint="eastAsia" w:ascii="楷体" w:hAnsi="楷体" w:eastAsia="楷体" w:cs="楷体"/>
          <w:sz w:val="32"/>
          <w:szCs w:val="32"/>
          <w:shd w:val="clear" w:color="auto" w:fill="FFFFFF"/>
        </w:rPr>
        <w:t>（一）国有资本经营预算财政拨款支出决算总体情况</w:t>
      </w:r>
      <w:r>
        <w:rPr>
          <w:rFonts w:hint="eastAsia" w:ascii="仿宋_GB2312" w:hAnsi="ˎ̥" w:eastAsia="仿宋_GB2312" w:cs="仿宋_GB2312"/>
          <w:sz w:val="32"/>
          <w:szCs w:val="32"/>
          <w:shd w:val="clear" w:color="auto" w:fill="FFFFFF"/>
        </w:rPr>
        <w:t>本单位202</w:t>
      </w:r>
      <w:r>
        <w:rPr>
          <w:rFonts w:hint="eastAsia" w:ascii="仿宋_GB2312" w:hAnsi="ˎ̥" w:eastAsia="仿宋_GB2312" w:cs="仿宋_GB2312"/>
          <w:sz w:val="32"/>
          <w:szCs w:val="32"/>
          <w:shd w:val="clear" w:color="auto" w:fill="FFFFFF"/>
          <w:lang w:val="en-US" w:eastAsia="zh-CN"/>
        </w:rPr>
        <w:t>2</w:t>
      </w:r>
      <w:r>
        <w:rPr>
          <w:rFonts w:hint="eastAsia" w:ascii="仿宋_GB2312" w:hAnsi="ˎ̥" w:eastAsia="仿宋_GB2312" w:cs="仿宋_GB2312"/>
          <w:sz w:val="32"/>
          <w:szCs w:val="32"/>
          <w:shd w:val="clear" w:color="auto" w:fill="FFFFFF"/>
        </w:rPr>
        <w:t>年无国有资本经营预算财政拨款支出</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（二）国有资本经营预算财政拨款支出决算结构情况</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无</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（三）国有资本经营预算财政拨款支出决算具体情况</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无</w:t>
      </w:r>
    </w:p>
    <w:p>
      <w:pPr>
        <w:keepNext/>
        <w:keepLines w:val="0"/>
        <w:pageBreakBefore w:val="0"/>
        <w:widowControl w:val="0"/>
        <w:tabs>
          <w:tab w:val="center" w:pos="4473"/>
        </w:tabs>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（注：根据各部门（单位）实际支出涉及的支出功能分类项级科目填列，本部分2022年决算相关数据取自财决公开08表）。</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楷体_GB2312" w:cs="仿宋_GB2312"/>
          <w:sz w:val="32"/>
          <w:szCs w:val="32"/>
          <w:shd w:val="clear" w:color="auto" w:fill="FFFFFF"/>
        </w:rPr>
      </w:pPr>
      <w:r>
        <w:rPr>
          <w:rFonts w:hint="eastAsia" w:ascii="黑体" w:hAnsi="宋体" w:eastAsia="黑体" w:cs="黑体"/>
          <w:bCs/>
          <w:sz w:val="32"/>
          <w:szCs w:val="32"/>
          <w:shd w:val="clear" w:color="auto" w:fill="FFFFFF"/>
        </w:rPr>
        <w:t>九、财政拨款“三公”经费支出决算情况说明</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（一）财政拨款“三公”经费支出决算总体情况说明</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本单位202</w:t>
      </w:r>
      <w:r>
        <w:rPr>
          <w:rFonts w:hint="eastAsia" w:ascii="仿宋_GB2312" w:hAnsi="ˎ̥" w:eastAsia="仿宋_GB2312" w:cs="仿宋_GB2312"/>
          <w:sz w:val="32"/>
          <w:szCs w:val="32"/>
          <w:shd w:val="clear" w:color="auto" w:fill="FFFFFF"/>
          <w:lang w:val="en-US" w:eastAsia="zh-CN"/>
        </w:rPr>
        <w:t>2</w:t>
      </w:r>
      <w:bookmarkStart w:id="119" w:name="_GoBack"/>
      <w:bookmarkEnd w:id="119"/>
      <w:r>
        <w:rPr>
          <w:rFonts w:hint="eastAsia" w:ascii="仿宋_GB2312" w:hAnsi="ˎ̥" w:eastAsia="仿宋_GB2312" w:cs="仿宋_GB2312"/>
          <w:sz w:val="32"/>
          <w:szCs w:val="32"/>
          <w:shd w:val="clear" w:color="auto" w:fill="FFFFFF"/>
        </w:rPr>
        <w:t>年无“三公”经费支出。</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（二）财政拨款“三公”经费支出决算具体情况说明</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本单位无“三公”费用</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hAnsi="ˎ̥" w:eastAsia="仿宋_GB2312" w:cs="仿宋_GB2312"/>
          <w:color w:val="auto"/>
          <w:sz w:val="32"/>
          <w:szCs w:val="32"/>
          <w:shd w:val="clear" w:color="auto" w:fill="FFFFFF"/>
        </w:rPr>
      </w:pPr>
      <w:r>
        <w:rPr>
          <w:rFonts w:hint="eastAsia" w:ascii="仿宋_GB2312" w:hAnsi="ˎ̥" w:eastAsia="仿宋_GB2312" w:cs="仿宋_GB2312"/>
          <w:sz w:val="32"/>
          <w:szCs w:val="32"/>
          <w:shd w:val="clear" w:color="auto" w:fill="FFFFFF"/>
        </w:rPr>
        <w:t>（注：2</w:t>
      </w:r>
      <w:r>
        <w:rPr>
          <w:rFonts w:hint="eastAsia" w:ascii="仿宋_GB2312" w:hAnsi="ˎ̥" w:eastAsia="仿宋_GB2312" w:cs="仿宋_GB2312"/>
          <w:color w:val="auto"/>
          <w:sz w:val="32"/>
          <w:szCs w:val="32"/>
          <w:shd w:val="clear" w:color="auto" w:fill="FFFFFF"/>
        </w:rPr>
        <w:t>022年度“三公”经费预算数、决算数可取自附件财决公开09表，2022年的出国团组数、出国人次，公务用车购置数、公务用车保有量，接待团组数、接待人次可取自部门决算报表F03表《机构运行信息表》）。</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黑体" w:hAnsi="宋体" w:eastAsia="黑体" w:cs="黑体"/>
          <w:bCs/>
          <w:color w:val="auto"/>
          <w:sz w:val="32"/>
          <w:szCs w:val="32"/>
          <w:shd w:val="clear" w:color="auto" w:fill="FFFFFF"/>
        </w:rPr>
      </w:pPr>
      <w:r>
        <w:rPr>
          <w:rFonts w:hint="eastAsia" w:ascii="黑体" w:hAnsi="宋体" w:eastAsia="黑体" w:cs="黑体"/>
          <w:bCs/>
          <w:color w:val="auto"/>
          <w:sz w:val="32"/>
          <w:szCs w:val="32"/>
          <w:shd w:val="clear" w:color="auto" w:fill="FFFFFF"/>
        </w:rPr>
        <w:t>十、预算绩效情况说明。</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ascii="楷体" w:hAnsi="楷体" w:eastAsia="楷体" w:cs="楷体"/>
          <w:bCs/>
          <w:color w:val="auto"/>
          <w:sz w:val="32"/>
          <w:szCs w:val="32"/>
          <w:shd w:val="clear" w:color="auto" w:fill="FFFFFF"/>
        </w:rPr>
      </w:pPr>
      <w:r>
        <w:rPr>
          <w:rFonts w:hint="eastAsia" w:ascii="楷体" w:hAnsi="楷体" w:eastAsia="楷体" w:cs="楷体"/>
          <w:bCs/>
          <w:color w:val="auto"/>
          <w:sz w:val="32"/>
          <w:szCs w:val="32"/>
          <w:shd w:val="clear" w:color="auto" w:fill="FFFFFF"/>
        </w:rPr>
        <w:t>（一）绩效管理工作开展情况</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根据预算管理要求，我单位组织对2022年度一般公共预算项目支出全面开展绩效自评。其中，自评项目</w:t>
      </w:r>
      <w:r>
        <w:rPr>
          <w:rFonts w:hint="eastAsia" w:ascii="仿宋_GB2312" w:eastAsia="仿宋_GB2312" w:cs="仿宋_GB2312"/>
          <w:color w:val="auto"/>
          <w:sz w:val="32"/>
          <w:szCs w:val="32"/>
          <w:shd w:val="clear" w:color="auto" w:fill="FFFFFF"/>
          <w:lang w:val="en-US" w:eastAsia="zh-CN"/>
        </w:rPr>
        <w:t>1</w:t>
      </w:r>
      <w:r>
        <w:rPr>
          <w:rFonts w:hint="eastAsia" w:ascii="仿宋_GB2312" w:eastAsia="仿宋_GB2312" w:cs="仿宋_GB2312"/>
          <w:color w:val="auto"/>
          <w:sz w:val="32"/>
          <w:szCs w:val="32"/>
          <w:shd w:val="clear" w:color="auto" w:fill="FFFFFF"/>
        </w:rPr>
        <w:t>个，共涉及资金</w:t>
      </w:r>
      <w:r>
        <w:rPr>
          <w:rFonts w:hint="eastAsia" w:ascii="仿宋_GB2312" w:eastAsia="仿宋_GB2312" w:cs="仿宋_GB2312"/>
          <w:color w:val="auto"/>
          <w:sz w:val="32"/>
          <w:szCs w:val="32"/>
          <w:shd w:val="clear" w:color="auto" w:fill="FFFFFF"/>
          <w:lang w:val="en-US" w:eastAsia="zh-CN"/>
        </w:rPr>
        <w:t>100</w:t>
      </w:r>
      <w:r>
        <w:rPr>
          <w:rFonts w:hint="eastAsia" w:ascii="仿宋_GB2312" w:eastAsia="仿宋_GB2312" w:cs="仿宋_GB2312"/>
          <w:color w:val="auto"/>
          <w:sz w:val="32"/>
          <w:szCs w:val="32"/>
          <w:shd w:val="clear" w:color="auto" w:fill="FFFFFF"/>
        </w:rPr>
        <w:t>万元，占一般公共预算项目支出总额的48</w:t>
      </w:r>
      <w:r>
        <w:rPr>
          <w:rFonts w:hint="eastAsia" w:ascii="仿宋_GB2312" w:eastAsia="仿宋_GB2312" w:cs="仿宋_GB2312"/>
          <w:color w:val="auto"/>
          <w:sz w:val="32"/>
          <w:szCs w:val="32"/>
          <w:shd w:val="clear" w:color="auto" w:fill="FFFFFF"/>
          <w:lang w:val="en-US" w:eastAsia="zh-CN"/>
        </w:rPr>
        <w:t>.</w:t>
      </w:r>
      <w:r>
        <w:rPr>
          <w:rFonts w:hint="eastAsia" w:ascii="仿宋_GB2312" w:eastAsia="仿宋_GB2312" w:cs="仿宋_GB2312"/>
          <w:color w:val="auto"/>
          <w:sz w:val="32"/>
          <w:szCs w:val="32"/>
          <w:shd w:val="clear" w:color="auto" w:fill="FFFFFF"/>
        </w:rPr>
        <w:t>0</w:t>
      </w:r>
      <w:r>
        <w:rPr>
          <w:rFonts w:hint="eastAsia" w:ascii="仿宋_GB2312" w:eastAsia="仿宋_GB2312" w:cs="仿宋_GB2312"/>
          <w:color w:val="auto"/>
          <w:sz w:val="32"/>
          <w:szCs w:val="32"/>
          <w:shd w:val="clear" w:color="auto" w:fill="FFFFFF"/>
          <w:lang w:val="en-US" w:eastAsia="zh-CN"/>
        </w:rPr>
        <w:t>2</w:t>
      </w:r>
      <w:r>
        <w:rPr>
          <w:rFonts w:hint="eastAsia" w:ascii="仿宋_GB2312" w:eastAsia="仿宋_GB2312" w:cs="仿宋_GB2312"/>
          <w:color w:val="auto"/>
          <w:sz w:val="32"/>
          <w:szCs w:val="32"/>
          <w:shd w:val="clear" w:color="auto" w:fill="FFFFFF"/>
        </w:rPr>
        <w:t>%。</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textAlignment w:val="auto"/>
        <w:rPr>
          <w:rFonts w:hint="eastAsia" w:ascii="仿宋_GB2312" w:eastAsia="仿宋_GB2312" w:cs="仿宋_GB2312"/>
          <w:color w:val="auto"/>
          <w:sz w:val="32"/>
          <w:szCs w:val="32"/>
          <w:shd w:val="clear" w:color="auto" w:fill="FFFFFF"/>
          <w:lang w:eastAsia="zh-CN"/>
        </w:rPr>
      </w:pPr>
      <w:r>
        <w:rPr>
          <w:rFonts w:hint="eastAsia" w:ascii="仿宋_GB2312" w:eastAsia="仿宋_GB2312" w:cs="仿宋_GB2312"/>
          <w:color w:val="auto"/>
          <w:sz w:val="32"/>
          <w:szCs w:val="32"/>
          <w:shd w:val="clear" w:color="auto" w:fill="FFFFFF"/>
        </w:rPr>
        <w:t>共组织对“46902122T000000662805-委托管理运转经费”</w:t>
      </w:r>
      <w:r>
        <w:rPr>
          <w:rFonts w:hint="eastAsia" w:ascii="仿宋_GB2312" w:eastAsia="仿宋_GB2312" w:cs="仿宋_GB2312"/>
          <w:color w:val="auto"/>
          <w:sz w:val="32"/>
          <w:szCs w:val="32"/>
          <w:shd w:val="clear" w:color="auto" w:fill="FFFFFF"/>
          <w:lang w:val="en-US" w:eastAsia="zh-CN"/>
        </w:rPr>
        <w:t>1</w:t>
      </w:r>
      <w:r>
        <w:rPr>
          <w:rFonts w:hint="eastAsia" w:ascii="仿宋_GB2312" w:eastAsia="仿宋_GB2312" w:cs="仿宋_GB2312"/>
          <w:color w:val="auto"/>
          <w:sz w:val="32"/>
          <w:szCs w:val="32"/>
          <w:shd w:val="clear" w:color="auto" w:fill="FFFFFF"/>
        </w:rPr>
        <w:t>个项目开展了部门评价，涉及一般公共预算支出</w:t>
      </w:r>
      <w:r>
        <w:rPr>
          <w:rFonts w:hint="eastAsia" w:ascii="仿宋_GB2312" w:eastAsia="仿宋_GB2312" w:cs="仿宋_GB2312"/>
          <w:color w:val="auto"/>
          <w:sz w:val="32"/>
          <w:szCs w:val="32"/>
          <w:shd w:val="clear" w:color="auto" w:fill="FFFFFF"/>
          <w:lang w:val="en-US" w:eastAsia="zh-CN"/>
        </w:rPr>
        <w:t>100</w:t>
      </w:r>
      <w:r>
        <w:rPr>
          <w:rFonts w:hint="eastAsia" w:ascii="仿宋_GB2312" w:eastAsia="仿宋_GB2312" w:cs="仿宋_GB2312"/>
          <w:color w:val="auto"/>
          <w:sz w:val="32"/>
          <w:szCs w:val="32"/>
          <w:shd w:val="clear" w:color="auto" w:fill="FFFFFF"/>
        </w:rPr>
        <w:t>万元。从评价情况来看，</w:t>
      </w:r>
      <w:r>
        <w:rPr>
          <w:rFonts w:hint="eastAsia" w:ascii="仿宋_GB2312" w:eastAsia="仿宋_GB2312" w:cs="仿宋_GB2312"/>
          <w:color w:val="auto"/>
          <w:sz w:val="32"/>
          <w:szCs w:val="32"/>
          <w:shd w:val="clear" w:color="auto" w:fill="FFFFFF"/>
          <w:lang w:val="en-US" w:eastAsia="zh-CN"/>
        </w:rPr>
        <w:t>该项目经费</w:t>
      </w:r>
      <w:r>
        <w:rPr>
          <w:rFonts w:hint="eastAsia" w:ascii="仿宋_GB2312" w:eastAsia="仿宋_GB2312" w:cs="仿宋_GB2312"/>
          <w:color w:val="auto"/>
          <w:sz w:val="32"/>
          <w:szCs w:val="32"/>
          <w:shd w:val="clear" w:color="auto" w:fill="FFFFFF"/>
        </w:rPr>
        <w:t>主要用于购买幼儿园的设备，确保了幼儿园正常运转</w:t>
      </w:r>
      <w:r>
        <w:rPr>
          <w:rFonts w:hint="eastAsia" w:ascii="仿宋_GB2312" w:eastAsia="仿宋_GB2312" w:cs="仿宋_GB2312"/>
          <w:color w:val="auto"/>
          <w:sz w:val="32"/>
          <w:szCs w:val="32"/>
          <w:shd w:val="clear" w:color="auto" w:fill="FFFFFF"/>
          <w:lang w:eastAsia="zh-CN"/>
        </w:rPr>
        <w:t>。</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jc w:val="left"/>
        <w:textAlignment w:val="auto"/>
        <w:rPr>
          <w:rFonts w:ascii="楷体" w:hAnsi="楷体" w:eastAsia="楷体" w:cs="楷体"/>
          <w:bCs/>
          <w:color w:val="auto"/>
          <w:sz w:val="32"/>
          <w:szCs w:val="32"/>
          <w:shd w:val="clear" w:color="auto" w:fill="FFFFFF"/>
        </w:rPr>
      </w:pPr>
      <w:r>
        <w:rPr>
          <w:rFonts w:hint="eastAsia" w:ascii="楷体" w:hAnsi="楷体" w:eastAsia="楷体" w:cs="楷体"/>
          <w:bCs/>
          <w:color w:val="auto"/>
          <w:sz w:val="32"/>
          <w:szCs w:val="32"/>
          <w:shd w:val="clear" w:color="auto" w:fill="FFFFFF"/>
        </w:rPr>
        <w:t>（二）部门决算中项目绩效自评结果（预算部门、单位可根据实际情况反映重点项目绩效自评结果）</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0" w:leftChars="0" w:firstLine="640" w:firstLineChars="200"/>
        <w:jc w:val="left"/>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我单位在部门决算中反委托管理运转经费</w:t>
      </w:r>
      <w:r>
        <w:rPr>
          <w:rFonts w:hint="eastAsia" w:ascii="仿宋_GB2312" w:eastAsia="仿宋_GB2312" w:cs="仿宋_GB2312"/>
          <w:color w:val="auto"/>
          <w:sz w:val="32"/>
          <w:szCs w:val="32"/>
          <w:shd w:val="clear" w:color="auto" w:fill="FFFFFF"/>
          <w:lang w:val="en-US" w:eastAsia="zh-CN"/>
        </w:rPr>
        <w:t>1</w:t>
      </w:r>
      <w:r>
        <w:rPr>
          <w:rFonts w:hint="eastAsia" w:ascii="仿宋_GB2312" w:eastAsia="仿宋_GB2312" w:cs="仿宋_GB2312"/>
          <w:color w:val="auto"/>
          <w:sz w:val="32"/>
          <w:szCs w:val="32"/>
          <w:shd w:val="clear" w:color="auto" w:fill="FFFFFF"/>
        </w:rPr>
        <w:t>个项目绩效自评结果（包括项目绩效自评表和项目绩效自评报告）。</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0" w:leftChars="0" w:firstLine="640" w:firstLineChars="200"/>
        <w:jc w:val="left"/>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委托管理运转经费项目绩效自评表：</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0" w:leftChars="0" w:firstLine="640" w:firstLineChars="200"/>
        <w:jc w:val="left"/>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委托管理运转经费项目绩效自评报告：根据年初设定的绩效目标，项目绩效自评得分为</w:t>
      </w:r>
      <w:r>
        <w:rPr>
          <w:rFonts w:hint="eastAsia" w:ascii="仿宋_GB2312" w:eastAsia="仿宋_GB2312" w:cs="仿宋_GB2312"/>
          <w:color w:val="auto"/>
          <w:sz w:val="32"/>
          <w:szCs w:val="32"/>
          <w:shd w:val="clear" w:color="auto" w:fill="FFFFFF"/>
          <w:lang w:val="en-US" w:eastAsia="zh-CN"/>
        </w:rPr>
        <w:t>100</w:t>
      </w:r>
      <w:r>
        <w:rPr>
          <w:rFonts w:hint="eastAsia" w:ascii="仿宋_GB2312" w:eastAsia="仿宋_GB2312" w:cs="仿宋_GB2312"/>
          <w:color w:val="auto"/>
          <w:sz w:val="32"/>
          <w:szCs w:val="32"/>
          <w:shd w:val="clear" w:color="auto" w:fill="FFFFFF"/>
        </w:rPr>
        <w:t>分。全年预算数为</w:t>
      </w:r>
      <w:r>
        <w:rPr>
          <w:rFonts w:hint="eastAsia" w:ascii="仿宋_GB2312" w:eastAsia="仿宋_GB2312" w:cs="仿宋_GB2312"/>
          <w:color w:val="auto"/>
          <w:sz w:val="32"/>
          <w:szCs w:val="32"/>
          <w:shd w:val="clear" w:color="auto" w:fill="FFFFFF"/>
          <w:lang w:val="en-US" w:eastAsia="zh-CN"/>
        </w:rPr>
        <w:t>100</w:t>
      </w:r>
      <w:r>
        <w:rPr>
          <w:rFonts w:hint="eastAsia" w:ascii="仿宋_GB2312" w:eastAsia="仿宋_GB2312" w:cs="仿宋_GB2312"/>
          <w:color w:val="auto"/>
          <w:sz w:val="32"/>
          <w:szCs w:val="32"/>
          <w:shd w:val="clear" w:color="auto" w:fill="FFFFFF"/>
        </w:rPr>
        <w:t>万元，执行数为</w:t>
      </w:r>
      <w:r>
        <w:rPr>
          <w:rFonts w:hint="eastAsia" w:ascii="仿宋_GB2312" w:eastAsia="仿宋_GB2312" w:cs="仿宋_GB2312"/>
          <w:color w:val="auto"/>
          <w:sz w:val="32"/>
          <w:szCs w:val="32"/>
          <w:shd w:val="clear" w:color="auto" w:fill="FFFFFF"/>
          <w:lang w:val="en-US" w:eastAsia="zh-CN"/>
        </w:rPr>
        <w:t>100</w:t>
      </w:r>
      <w:r>
        <w:rPr>
          <w:rFonts w:hint="eastAsia" w:ascii="仿宋_GB2312" w:eastAsia="仿宋_GB2312" w:cs="仿宋_GB2312"/>
          <w:color w:val="auto"/>
          <w:sz w:val="32"/>
          <w:szCs w:val="32"/>
          <w:shd w:val="clear" w:color="auto" w:fill="FFFFFF"/>
        </w:rPr>
        <w:t>万元，完成预算的</w:t>
      </w:r>
      <w:r>
        <w:rPr>
          <w:rFonts w:hint="eastAsia" w:ascii="仿宋_GB2312" w:eastAsia="仿宋_GB2312" w:cs="仿宋_GB2312"/>
          <w:color w:val="auto"/>
          <w:sz w:val="32"/>
          <w:szCs w:val="32"/>
          <w:shd w:val="clear" w:color="auto" w:fill="FFFFFF"/>
          <w:lang w:val="en-US" w:eastAsia="zh-CN"/>
        </w:rPr>
        <w:t>100</w:t>
      </w:r>
      <w:r>
        <w:rPr>
          <w:rFonts w:hint="eastAsia" w:ascii="仿宋_GB2312" w:eastAsia="仿宋_GB2312" w:cs="仿宋_GB2312"/>
          <w:color w:val="auto"/>
          <w:sz w:val="32"/>
          <w:szCs w:val="32"/>
          <w:shd w:val="clear" w:color="auto" w:fill="FFFFFF"/>
        </w:rPr>
        <w:t>%。项目绩效目标完成情况：一是保障园所运转工作；二是</w:t>
      </w:r>
      <w:r>
        <w:rPr>
          <w:rFonts w:hint="eastAsia" w:ascii="仿宋_GB2312" w:eastAsia="仿宋_GB2312" w:cs="仿宋_GB2312"/>
          <w:color w:val="auto"/>
          <w:sz w:val="32"/>
          <w:szCs w:val="32"/>
          <w:shd w:val="clear" w:color="auto" w:fill="FFFFFF"/>
          <w:lang w:val="en-US" w:eastAsia="zh-CN"/>
        </w:rPr>
        <w:t>受</w:t>
      </w:r>
      <w:r>
        <w:rPr>
          <w:rFonts w:hint="eastAsia" w:ascii="仿宋_GB2312" w:eastAsia="仿宋_GB2312" w:cs="仿宋_GB2312"/>
          <w:color w:val="auto"/>
          <w:sz w:val="32"/>
          <w:szCs w:val="32"/>
          <w:shd w:val="clear" w:color="auto" w:fill="FFFFFF"/>
        </w:rPr>
        <w:t>益幼儿</w:t>
      </w:r>
      <w:r>
        <w:rPr>
          <w:rFonts w:hint="eastAsia" w:ascii="仿宋_GB2312" w:eastAsia="仿宋_GB2312" w:cs="仿宋_GB2312"/>
          <w:color w:val="auto"/>
          <w:sz w:val="32"/>
          <w:szCs w:val="32"/>
          <w:shd w:val="clear" w:color="auto" w:fill="FFFFFF"/>
          <w:lang w:val="en-US" w:eastAsia="zh-CN"/>
        </w:rPr>
        <w:t>超过100人；三是家长满意度超过95%</w:t>
      </w:r>
      <w:r>
        <w:rPr>
          <w:rFonts w:hint="eastAsia" w:ascii="仿宋_GB2312" w:eastAsia="仿宋_GB2312" w:cs="仿宋_GB2312"/>
          <w:color w:val="auto"/>
          <w:sz w:val="32"/>
          <w:szCs w:val="32"/>
          <w:shd w:val="clear" w:color="auto" w:fill="FFFFFF"/>
        </w:rPr>
        <w:t>。</w:t>
      </w:r>
      <w:r>
        <w:rPr>
          <w:rFonts w:hint="eastAsia" w:ascii="仿宋_GB2312" w:eastAsia="仿宋_GB2312" w:cs="仿宋_GB2312"/>
          <w:color w:val="auto"/>
          <w:sz w:val="32"/>
          <w:szCs w:val="32"/>
          <w:shd w:val="clear" w:color="auto" w:fill="FFFFFF"/>
          <w:lang w:val="en-US" w:eastAsia="zh-CN"/>
        </w:rPr>
        <w:t>未存在问题</w:t>
      </w:r>
      <w:r>
        <w:rPr>
          <w:rFonts w:hint="eastAsia" w:ascii="仿宋_GB2312" w:eastAsia="仿宋_GB2312" w:cs="仿宋_GB2312"/>
          <w:color w:val="auto"/>
          <w:sz w:val="32"/>
          <w:szCs w:val="32"/>
          <w:shd w:val="clear" w:color="auto" w:fill="FFFFFF"/>
        </w:rPr>
        <w:t>。</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0" w:leftChars="0" w:firstLine="640" w:firstLineChars="200"/>
        <w:jc w:val="left"/>
        <w:textAlignment w:val="auto"/>
        <w:rPr>
          <w:rFonts w:ascii="楷体" w:hAnsi="楷体" w:eastAsia="楷体" w:cs="楷体"/>
          <w:bCs/>
          <w:color w:val="auto"/>
          <w:sz w:val="32"/>
          <w:szCs w:val="32"/>
          <w:shd w:val="clear" w:color="auto" w:fill="FFFFFF"/>
        </w:rPr>
      </w:pPr>
      <w:r>
        <w:rPr>
          <w:rFonts w:hint="eastAsia" w:ascii="楷体" w:hAnsi="楷体" w:eastAsia="楷体" w:cs="楷体"/>
          <w:bCs/>
          <w:color w:val="auto"/>
          <w:sz w:val="32"/>
          <w:szCs w:val="32"/>
          <w:shd w:val="clear" w:color="auto" w:fill="FFFFFF"/>
        </w:rPr>
        <w:t>（三）部门评价结果（预算部门填写，部门所属单位不需填写）</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0" w:lef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无</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0" w:leftChars="0" w:firstLine="640" w:firstLineChars="200"/>
        <w:jc w:val="left"/>
        <w:textAlignment w:val="auto"/>
        <w:rPr>
          <w:rFonts w:hint="eastAsia" w:ascii="楷体" w:hAnsi="楷体" w:eastAsia="楷体" w:cs="楷体"/>
          <w:bCs/>
          <w:color w:val="auto"/>
          <w:sz w:val="32"/>
          <w:szCs w:val="32"/>
          <w:shd w:val="clear" w:color="auto" w:fill="FFFFFF"/>
        </w:rPr>
      </w:pPr>
      <w:r>
        <w:rPr>
          <w:rFonts w:hint="eastAsia" w:ascii="楷体" w:hAnsi="楷体" w:eastAsia="楷体" w:cs="楷体"/>
          <w:bCs/>
          <w:color w:val="auto"/>
          <w:sz w:val="32"/>
          <w:szCs w:val="32"/>
          <w:shd w:val="clear" w:color="auto" w:fill="FFFFFF"/>
        </w:rPr>
        <w:t>（四）财政评价结果（如有）</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0" w:leftChars="0" w:firstLine="640" w:firstLineChars="200"/>
        <w:jc w:val="left"/>
        <w:textAlignment w:val="auto"/>
        <w:rPr>
          <w:rFonts w:ascii="楷体" w:hAnsi="楷体" w:eastAsia="楷体" w:cs="楷体"/>
          <w:bCs/>
          <w:color w:val="auto"/>
          <w:sz w:val="32"/>
          <w:szCs w:val="32"/>
          <w:shd w:val="clear" w:color="auto" w:fill="FFFFFF"/>
        </w:rPr>
      </w:pPr>
      <w:r>
        <w:rPr>
          <w:rFonts w:hint="eastAsia" w:ascii="楷体" w:hAnsi="楷体" w:eastAsia="楷体" w:cs="楷体"/>
          <w:bCs/>
          <w:color w:val="auto"/>
          <w:sz w:val="32"/>
          <w:szCs w:val="32"/>
          <w:shd w:val="clear" w:color="auto" w:fill="FFFFFF"/>
        </w:rPr>
        <w:t>无</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638" w:leftChars="266" w:firstLine="0" w:firstLineChars="0"/>
        <w:rPr>
          <w:rFonts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rPr>
        <w:t>十一、其他重要事项情况说明</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638" w:leftChars="266" w:firstLine="0" w:firstLineChars="0"/>
        <w:rPr>
          <w:rFonts w:ascii="楷体" w:hAnsi="楷体" w:eastAsia="楷体" w:cs="楷体"/>
          <w:bCs/>
          <w:sz w:val="32"/>
          <w:szCs w:val="32"/>
          <w:shd w:val="clear" w:color="auto" w:fill="FFFFFF"/>
        </w:rPr>
      </w:pPr>
      <w:bookmarkStart w:id="95" w:name="_Toc23598_WPSOffice_Level2"/>
      <w:bookmarkStart w:id="96" w:name="_Toc15262_WPSOffice_Level2"/>
      <w:bookmarkStart w:id="97" w:name="_Toc18325_WPSOffice_Level2"/>
      <w:bookmarkStart w:id="98" w:name="_Toc5978_WPSOffice_Level2"/>
      <w:bookmarkStart w:id="99" w:name="_Toc15565_WPSOffice_Level2"/>
      <w:bookmarkStart w:id="100" w:name="_Toc32639_WPSOffice_Level2"/>
      <w:r>
        <w:rPr>
          <w:rFonts w:hint="eastAsia" w:ascii="楷体" w:hAnsi="楷体" w:eastAsia="楷体" w:cs="楷体"/>
          <w:bCs/>
          <w:sz w:val="32"/>
          <w:szCs w:val="32"/>
          <w:shd w:val="clear" w:color="auto" w:fill="FFFFFF"/>
        </w:rPr>
        <w:t>（一）机关运行经费支出情况</w:t>
      </w:r>
      <w:bookmarkEnd w:id="95"/>
      <w:bookmarkEnd w:id="96"/>
      <w:bookmarkEnd w:id="97"/>
      <w:bookmarkEnd w:id="98"/>
      <w:bookmarkEnd w:id="99"/>
      <w:bookmarkEnd w:id="100"/>
    </w:p>
    <w:p>
      <w:pPr>
        <w:keepNext/>
        <w:keepLines w:val="0"/>
        <w:pageBreakBefore w:val="0"/>
        <w:widowControl w:val="0"/>
        <w:kinsoku/>
        <w:wordWrap/>
        <w:overflowPunct/>
        <w:topLinePunct w:val="0"/>
        <w:autoSpaceDE/>
        <w:autoSpaceDN/>
        <w:bidi w:val="0"/>
        <w:adjustRightInd w:val="0"/>
        <w:snapToGrid w:val="0"/>
        <w:spacing w:afterAutospacing="0" w:line="600" w:lineRule="exact"/>
        <w:ind w:left="638" w:leftChars="266" w:firstLine="0" w:firstLineChars="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本单位为事业单位，无机关运行经费。</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注：机关运行经费预算数字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字可取自2022年度部门决算报表F03表《机构运行信息表》“机关运行经费”栏。）</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638" w:leftChars="266" w:firstLine="0" w:firstLineChars="0"/>
        <w:rPr>
          <w:rFonts w:ascii="楷体" w:hAnsi="楷体" w:eastAsia="楷体" w:cs="楷体"/>
          <w:bCs/>
          <w:sz w:val="32"/>
          <w:szCs w:val="32"/>
          <w:shd w:val="clear" w:color="auto" w:fill="FFFFFF"/>
        </w:rPr>
      </w:pPr>
      <w:bookmarkStart w:id="101" w:name="_Toc25333_WPSOffice_Level2"/>
      <w:bookmarkStart w:id="102" w:name="_Toc3131_WPSOffice_Level2"/>
      <w:bookmarkStart w:id="103" w:name="_Toc13084_WPSOffice_Level2"/>
      <w:bookmarkStart w:id="104" w:name="_Toc23966_WPSOffice_Level2"/>
      <w:bookmarkStart w:id="105" w:name="_Toc30383_WPSOffice_Level2"/>
      <w:bookmarkStart w:id="106" w:name="_Toc32689_WPSOffice_Level2"/>
      <w:r>
        <w:rPr>
          <w:rFonts w:hint="eastAsia" w:ascii="楷体" w:hAnsi="楷体" w:eastAsia="楷体" w:cs="楷体"/>
          <w:bCs/>
          <w:sz w:val="32"/>
          <w:szCs w:val="32"/>
          <w:shd w:val="clear" w:color="auto" w:fill="FFFFFF"/>
        </w:rPr>
        <w:t>（二）政府采购支出情况</w:t>
      </w:r>
      <w:bookmarkEnd w:id="101"/>
      <w:bookmarkEnd w:id="102"/>
      <w:bookmarkEnd w:id="103"/>
      <w:bookmarkEnd w:id="104"/>
      <w:bookmarkEnd w:id="105"/>
      <w:bookmarkEnd w:id="106"/>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jc w:val="both"/>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2022年度部门（单位）政府采购支出总额0万元。</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jc w:val="both"/>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（注：上述政府采购支出相关数字取自2022年度部门决算报表F03表《机构运行信息表》，授予中小企业和小微企业合同金额由各部门查阅本部门相关资料填写。）</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638" w:leftChars="266" w:firstLine="0" w:firstLineChars="0"/>
        <w:rPr>
          <w:rFonts w:ascii="楷体" w:hAnsi="楷体" w:eastAsia="楷体" w:cs="楷体"/>
          <w:bCs/>
          <w:sz w:val="32"/>
          <w:szCs w:val="32"/>
          <w:shd w:val="clear" w:color="auto" w:fill="FFFFFF"/>
        </w:rPr>
      </w:pPr>
      <w:bookmarkStart w:id="107" w:name="_Toc19989_WPSOffice_Level2"/>
      <w:bookmarkStart w:id="108" w:name="_Toc527_WPSOffice_Level2"/>
      <w:bookmarkStart w:id="109" w:name="_Toc10902_WPSOffice_Level2"/>
      <w:bookmarkStart w:id="110" w:name="_Toc6016_WPSOffice_Level2"/>
      <w:bookmarkStart w:id="111" w:name="_Toc15129_WPSOffice_Level2"/>
      <w:bookmarkStart w:id="112" w:name="_Toc29584_WPSOffice_Level2"/>
      <w:r>
        <w:rPr>
          <w:rFonts w:hint="eastAsia" w:ascii="楷体" w:hAnsi="楷体" w:eastAsia="楷体" w:cs="楷体"/>
          <w:bCs/>
          <w:sz w:val="32"/>
          <w:szCs w:val="32"/>
          <w:shd w:val="clear" w:color="auto" w:fill="FFFFFF"/>
        </w:rPr>
        <w:t>（三）国有资产占用情况</w:t>
      </w:r>
      <w:bookmarkEnd w:id="107"/>
      <w:bookmarkEnd w:id="108"/>
      <w:bookmarkEnd w:id="109"/>
      <w:bookmarkEnd w:id="110"/>
      <w:bookmarkEnd w:id="111"/>
      <w:bookmarkEnd w:id="112"/>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jc w:val="both"/>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截至2022年12月31日，本部门拥有房屋面积0平方米，其中：办公用房0平方米，业务用房0平方米，其他（不含构筑物）0平方米。</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jc w:val="both"/>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本部门共有车辆0辆。单价</w:t>
      </w:r>
      <w:r>
        <w:rPr>
          <w:rFonts w:hint="eastAsia" w:ascii="仿宋_GB2312" w:hAnsi="ˎ̥" w:eastAsia="仿宋_GB2312" w:cs="仿宋_GB2312"/>
          <w:sz w:val="32"/>
          <w:szCs w:val="32"/>
          <w:shd w:val="clear" w:color="auto" w:fill="FFFFFF"/>
          <w:lang w:val="en-US"/>
        </w:rPr>
        <w:t>100</w:t>
      </w:r>
      <w:r>
        <w:rPr>
          <w:rFonts w:hint="eastAsia" w:ascii="仿宋_GB2312" w:hAnsi="ˎ̥" w:eastAsia="仿宋_GB2312" w:cs="仿宋_GB2312"/>
          <w:sz w:val="32"/>
          <w:szCs w:val="32"/>
          <w:shd w:val="clear" w:color="auto" w:fill="FFFFFF"/>
        </w:rPr>
        <w:t>万元（含）以上设备（不含车辆）</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台（套）。</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jc w:val="both"/>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年末有在建工程。</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jc w:val="both"/>
        <w:rPr>
          <w:rFonts w:hint="eastAsia" w:ascii="黑体" w:hAnsi="ˎ̥" w:eastAsia="黑体" w:cs="黑体"/>
          <w:sz w:val="32"/>
          <w:szCs w:val="32"/>
          <w:shd w:val="clear" w:color="auto" w:fill="FFFFFF"/>
        </w:rPr>
      </w:pPr>
      <w:r>
        <w:rPr>
          <w:rFonts w:hint="eastAsia" w:ascii="仿宋_GB2312" w:hAnsi="ˎ̥" w:eastAsia="仿宋_GB2312" w:cs="仿宋_GB2312"/>
          <w:sz w:val="32"/>
          <w:szCs w:val="32"/>
          <w:shd w:val="clear" w:color="auto" w:fill="FFFFFF"/>
        </w:rPr>
        <w:t>（注：上述国有资产占用情况相关数字取自2022年度部门决算F01表《预算支出相关信息表》、F03表《机构运行信息表》。）</w:t>
      </w:r>
      <w:bookmarkStart w:id="113" w:name="_Toc8874_WPSOffice_Level1"/>
      <w:bookmarkStart w:id="114" w:name="_Toc4398_WPSOffice_Level1"/>
      <w:bookmarkStart w:id="115" w:name="_Toc15425_WPSOffice_Level1"/>
      <w:bookmarkStart w:id="116" w:name="_Toc8808_WPSOffice_Level1"/>
      <w:bookmarkStart w:id="117" w:name="_Toc11039_WPSOffice_Level1"/>
      <w:bookmarkStart w:id="118" w:name="_Toc17580_WPSOffice_Level1"/>
    </w:p>
    <w:p>
      <w:pPr>
        <w:keepNext/>
        <w:keepLines w:val="0"/>
        <w:pageBreakBefore w:val="0"/>
        <w:widowControl w:val="0"/>
        <w:kinsoku/>
        <w:wordWrap/>
        <w:overflowPunct/>
        <w:topLinePunct w:val="0"/>
        <w:autoSpaceDE/>
        <w:autoSpaceDN/>
        <w:bidi w:val="0"/>
        <w:adjustRightInd w:val="0"/>
        <w:snapToGrid w:val="0"/>
        <w:spacing w:afterAutospacing="0" w:line="600" w:lineRule="exact"/>
        <w:ind w:left="640" w:leftChars="0" w:hanging="640" w:hangingChars="200"/>
        <w:jc w:val="center"/>
        <w:rPr>
          <w:rFonts w:hint="eastAsia" w:ascii="黑体" w:hAnsi="ˎ̥" w:eastAsia="黑体" w:cs="黑体"/>
          <w:sz w:val="32"/>
          <w:szCs w:val="32"/>
          <w:shd w:val="clear" w:color="auto" w:fill="FFFFFF"/>
        </w:rPr>
      </w:pPr>
      <w:r>
        <w:rPr>
          <w:rFonts w:hint="eastAsia" w:ascii="黑体" w:hAnsi="ˎ̥" w:eastAsia="黑体" w:cs="黑体"/>
          <w:sz w:val="32"/>
          <w:szCs w:val="32"/>
          <w:shd w:val="clear" w:color="auto" w:fill="FFFFFF"/>
        </w:rPr>
        <w:t>第四部分名词解释</w:t>
      </w:r>
      <w:bookmarkEnd w:id="113"/>
      <w:bookmarkEnd w:id="114"/>
      <w:bookmarkEnd w:id="115"/>
      <w:bookmarkEnd w:id="116"/>
      <w:bookmarkEnd w:id="117"/>
      <w:bookmarkEnd w:id="118"/>
    </w:p>
    <w:p>
      <w:pPr>
        <w:keepNext/>
        <w:keepLines w:val="0"/>
        <w:pageBreakBefore w:val="0"/>
        <w:widowControl w:val="0"/>
        <w:kinsoku/>
        <w:wordWrap/>
        <w:overflowPunct/>
        <w:topLinePunct w:val="0"/>
        <w:autoSpaceDE/>
        <w:autoSpaceDN/>
        <w:bidi w:val="0"/>
        <w:adjustRightInd w:val="0"/>
        <w:snapToGrid w:val="0"/>
        <w:spacing w:afterAutospacing="0" w:line="600" w:lineRule="exact"/>
        <w:ind w:left="640" w:leftChars="0" w:hanging="640" w:hangingChars="200"/>
        <w:jc w:val="center"/>
        <w:rPr>
          <w:rFonts w:hint="eastAsia" w:ascii="黑体" w:hAnsi="ˎ̥" w:eastAsia="黑体" w:cs="黑体"/>
          <w:sz w:val="32"/>
          <w:szCs w:val="32"/>
          <w:shd w:val="clear" w:color="auto" w:fill="FFFFFF"/>
        </w:rPr>
      </w:pP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jc w:val="both"/>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lang w:val="en-US" w:eastAsia="zh-CN"/>
        </w:rPr>
        <w:t>一、</w:t>
      </w:r>
      <w:r>
        <w:rPr>
          <w:rFonts w:hint="eastAsia" w:ascii="仿宋_GB2312" w:hAnsi="ˎ̥" w:eastAsia="仿宋_GB2312" w:cs="仿宋_GB2312"/>
          <w:sz w:val="32"/>
          <w:szCs w:val="32"/>
          <w:shd w:val="clear" w:color="auto" w:fill="FFFFFF"/>
        </w:rPr>
        <w:t>财政拨款收入：指同级政府财政部门当年拨付的各类财政拨款。</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二、上级补助收入：指事业单位从主管部门和上级单位取得的非财政补助收入。</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三、事业收入：指事业单位开展专业业务活动及辅助活动取得的收入。</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四、经营收入：指事业单位在专业业务活动及其辅助活动之外开展非独立核算经营活动取得的收入。</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五、附属单位上缴收入：指事业单位取得附属独立核算单位根据有关规定上缴的收入。</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六、其他收入：指除上述“财政拨款收入”“事业收入”“上级补助收入”“经营收入”“附属单位上缴收入”等以外的收入。</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七、使用非财政拨款结余：指事业单位在当年的“财政拨款收入”“事业收入”“经营收入”“其他收入”等不足以安排当年支出的情况下，使用非同级财政拨款结余资金弥补本年度收支缺口。</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八、年初结转和结余：指以前年度尚未完成、结转到本年按有关规定继续使用的资金，或项目已完成等产生的结余资金。</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九、结余分配：指事业单位缴纳企业所得税以及从非财政拨款结余或经营结余中提取各类结余的情况。</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十、年末结转和结余：指本年度或以前年度预算安排、因客观条件发生变化无法按原计划实施，需要延迟到以后年度按有关规定继续使用的资金（不包括事业单位非财政拨款结余和专用结余）。</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十一、基本支出：指为保障机构正常运转、完成日常工作任务而发生的人员支出和公用支出。</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十二、项目支出：指在基本支出之外为完成特定行政任务和事业发展目标所发生的支出。</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十三、经营支出：指事业单位在专业业务活动及其辅助活动之外开展非独立核算经营活动发生的支出。</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（注：支出功能分类的名词解释，各部门（单位）根据实际支出情况填列，可参阅财政部印发的《2022年政府收支分类科目》）</w:t>
      </w:r>
    </w:p>
    <w:p>
      <w:pPr>
        <w:keepNext/>
        <w:keepLines w:val="0"/>
        <w:pageBreakBefore w:val="0"/>
        <w:widowControl w:val="0"/>
        <w:kinsoku/>
        <w:wordWrap/>
        <w:overflowPunct/>
        <w:topLinePunct w:val="0"/>
        <w:autoSpaceDE/>
        <w:autoSpaceDN/>
        <w:bidi w:val="0"/>
        <w:adjustRightInd w:val="0"/>
        <w:snapToGrid w:val="0"/>
        <w:spacing w:afterAutospacing="0" w:line="600"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w:t>
      </w:r>
    </w:p>
    <w:p>
      <w:pPr>
        <w:keepNext/>
        <w:keepLines w:val="0"/>
        <w:pageBreakBefore w:val="0"/>
        <w:widowControl w:val="0"/>
        <w:kinsoku/>
        <w:wordWrap/>
        <w:overflowPunct/>
        <w:topLinePunct w:val="0"/>
        <w:autoSpaceDE/>
        <w:autoSpaceDN/>
        <w:bidi w:val="0"/>
        <w:adjustRightInd w:val="0"/>
        <w:snapToGrid w:val="0"/>
        <w:spacing w:afterAutospacing="0" w:line="600" w:lineRule="exact"/>
        <w:ind w:left="480" w:leftChars="0" w:hanging="480" w:hangingChars="200"/>
        <w:rPr>
          <w:shd w:val="clear" w:color="auto" w:fill="FFFFFF"/>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MDcxMjg5NmViZjUxZDljNjFkMzEwOWU0MDQzMjUifQ=="/>
  </w:docVars>
  <w:rsids>
    <w:rsidRoot w:val="005B0B5B"/>
    <w:rsid w:val="00022427"/>
    <w:rsid w:val="000D6E4B"/>
    <w:rsid w:val="000E3F6B"/>
    <w:rsid w:val="00150B94"/>
    <w:rsid w:val="00165249"/>
    <w:rsid w:val="002B4533"/>
    <w:rsid w:val="00340DC2"/>
    <w:rsid w:val="00341F1B"/>
    <w:rsid w:val="003526F6"/>
    <w:rsid w:val="003540DC"/>
    <w:rsid w:val="00374A82"/>
    <w:rsid w:val="00430F37"/>
    <w:rsid w:val="00462579"/>
    <w:rsid w:val="00504120"/>
    <w:rsid w:val="00506151"/>
    <w:rsid w:val="00533F23"/>
    <w:rsid w:val="005B0B5B"/>
    <w:rsid w:val="00603291"/>
    <w:rsid w:val="00611973"/>
    <w:rsid w:val="006B5EB1"/>
    <w:rsid w:val="0082705D"/>
    <w:rsid w:val="008334DA"/>
    <w:rsid w:val="00845B23"/>
    <w:rsid w:val="00963510"/>
    <w:rsid w:val="00AA69B5"/>
    <w:rsid w:val="00AE3E10"/>
    <w:rsid w:val="00B60DD3"/>
    <w:rsid w:val="00C80BF1"/>
    <w:rsid w:val="00C824F6"/>
    <w:rsid w:val="00CC0BEA"/>
    <w:rsid w:val="00E55722"/>
    <w:rsid w:val="00E55987"/>
    <w:rsid w:val="00EB702D"/>
    <w:rsid w:val="00EB78AA"/>
    <w:rsid w:val="00ED799B"/>
    <w:rsid w:val="00F227A2"/>
    <w:rsid w:val="00F43ACF"/>
    <w:rsid w:val="10E25002"/>
    <w:rsid w:val="17CF2DA2"/>
    <w:rsid w:val="31292F10"/>
    <w:rsid w:val="4999265C"/>
    <w:rsid w:val="74305C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EastAsia" w:hAnsiTheme="minorEastAsia" w:eastAsiaTheme="minorEastAsia"/>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b/>
      <w:bCs/>
      <w:kern w:val="44"/>
      <w:sz w:val="48"/>
      <w:szCs w:val="48"/>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b/>
      <w:bCs/>
      <w:sz w:val="36"/>
      <w:szCs w:val="36"/>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b/>
      <w:bCs/>
      <w:sz w:val="27"/>
      <w:szCs w:val="27"/>
    </w:rPr>
  </w:style>
  <w:style w:type="paragraph" w:styleId="5">
    <w:name w:val="heading 4"/>
    <w:basedOn w:val="1"/>
    <w:next w:val="1"/>
    <w:semiHidden/>
    <w:unhideWhenUsed/>
    <w:qFormat/>
    <w:uiPriority w:val="0"/>
    <w:pPr>
      <w:spacing w:beforeAutospacing="1" w:afterAutospacing="1"/>
      <w:outlineLvl w:val="3"/>
    </w:pPr>
    <w:rPr>
      <w:rFonts w:hint="eastAsia" w:ascii="宋体" w:hAnsi="宋体" w:eastAsia="宋体"/>
      <w:b/>
      <w:bCs/>
    </w:rPr>
  </w:style>
  <w:style w:type="paragraph" w:styleId="6">
    <w:name w:val="heading 5"/>
    <w:basedOn w:val="1"/>
    <w:next w:val="1"/>
    <w:semiHidden/>
    <w:unhideWhenUsed/>
    <w:qFormat/>
    <w:uiPriority w:val="0"/>
    <w:pPr>
      <w:spacing w:beforeAutospacing="1" w:afterAutospacing="1"/>
      <w:outlineLvl w:val="4"/>
    </w:pPr>
    <w:rPr>
      <w:rFonts w:hint="eastAsia" w:ascii="宋体" w:hAnsi="宋体" w:eastAsia="宋体"/>
      <w:b/>
      <w:bCs/>
      <w:sz w:val="20"/>
      <w:szCs w:val="20"/>
    </w:rPr>
  </w:style>
  <w:style w:type="paragraph" w:styleId="7">
    <w:name w:val="heading 6"/>
    <w:basedOn w:val="1"/>
    <w:next w:val="1"/>
    <w:semiHidden/>
    <w:unhideWhenUsed/>
    <w:qFormat/>
    <w:uiPriority w:val="0"/>
    <w:pPr>
      <w:spacing w:beforeAutospacing="1" w:afterAutospacing="1"/>
      <w:outlineLvl w:val="5"/>
    </w:pPr>
    <w:rPr>
      <w:rFonts w:hint="eastAsia" w:ascii="宋体" w:hAnsi="宋体" w:eastAsia="宋体"/>
      <w:b/>
      <w:bCs/>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5"/>
    <w:qFormat/>
    <w:uiPriority w:val="0"/>
    <w:pPr>
      <w:tabs>
        <w:tab w:val="center" w:pos="4153"/>
        <w:tab w:val="right" w:pos="8306"/>
      </w:tabs>
      <w:snapToGrid w:val="0"/>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11">
    <w:name w:val="Normal (Web)"/>
    <w:basedOn w:val="1"/>
    <w:qFormat/>
    <w:uiPriority w:val="0"/>
    <w:pPr>
      <w:spacing w:beforeAutospacing="1" w:afterAutospacing="1"/>
    </w:pPr>
  </w:style>
  <w:style w:type="character" w:customStyle="1" w:styleId="14">
    <w:name w:val="页眉 Char"/>
    <w:basedOn w:val="13"/>
    <w:link w:val="9"/>
    <w:qFormat/>
    <w:uiPriority w:val="0"/>
    <w:rPr>
      <w:rFonts w:asciiTheme="minorEastAsia" w:hAnsiTheme="minorEastAsia" w:eastAsiaTheme="minorEastAsia"/>
      <w:sz w:val="18"/>
      <w:szCs w:val="18"/>
    </w:rPr>
  </w:style>
  <w:style w:type="character" w:customStyle="1" w:styleId="15">
    <w:name w:val="页脚 Char"/>
    <w:basedOn w:val="13"/>
    <w:link w:val="8"/>
    <w:qFormat/>
    <w:uiPriority w:val="0"/>
    <w:rPr>
      <w:rFonts w:asciiTheme="minorEastAsia" w:hAnsiTheme="minorEastAsia" w:eastAsiaTheme="minorEastAsia"/>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985</Words>
  <Characters>5616</Characters>
  <Lines>46</Lines>
  <Paragraphs>13</Paragraphs>
  <TotalTime>14</TotalTime>
  <ScaleCrop>false</ScaleCrop>
  <LinksUpToDate>false</LinksUpToDate>
  <CharactersWithSpaces>6588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2023-09-21T09:51:00Z</dcterms:created>
  <dc:creator>Administrator</dc:creator>
  <cp:lastModifiedBy>Administrator</cp:lastModifiedBy>
  <cp:lastPrinted>2023-09-24T23:23:00Z</cp:lastPrinted>
  <dcterms:modified xsi:type="dcterms:W3CDTF">2023-09-25T03:34:10Z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EE65ABC663594932B8FBD74D33209767_13</vt:lpwstr>
  </property>
</Properties>
</file>