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黑体" w:hAnsi="ˎ̥" w:eastAsia="黑体"/>
          <w:sz w:val="44"/>
          <w:szCs w:val="44"/>
        </w:rPr>
      </w:pPr>
      <w:r>
        <w:rPr>
          <w:rFonts w:hint="eastAsia" w:ascii="黑体" w:hAnsi="宋体" w:eastAsia="黑体"/>
          <w:sz w:val="32"/>
          <w:szCs w:val="32"/>
        </w:rPr>
        <w:t>附件1</w:t>
      </w:r>
    </w:p>
    <w:p>
      <w:pPr>
        <w:spacing w:after="100" w:afterAutospacing="1"/>
        <w:jc w:val="center"/>
        <w:rPr>
          <w:rFonts w:hint="eastAsia" w:ascii="黑体" w:hAnsi="ˎ̥" w:eastAsia="黑体" w:cs="黑体"/>
          <w:sz w:val="44"/>
          <w:szCs w:val="44"/>
          <w:shd w:val="clear" w:color="auto" w:fill="FFFFFF"/>
        </w:rPr>
      </w:pPr>
      <w:r>
        <w:rPr>
          <w:rFonts w:hint="eastAsia" w:ascii="黑体" w:hAnsi="ˎ̥" w:eastAsia="黑体" w:cs="黑体"/>
          <w:sz w:val="44"/>
          <w:szCs w:val="44"/>
          <w:shd w:val="clear" w:color="auto" w:fill="FFFFFF"/>
        </w:rPr>
        <w:t>定安县龙河镇中心幼儿园</w:t>
      </w:r>
    </w:p>
    <w:p>
      <w:pPr>
        <w:spacing w:after="100" w:afterAutospacing="1"/>
        <w:jc w:val="center"/>
        <w:rPr>
          <w:rFonts w:hint="eastAsia" w:ascii="黑体" w:hAnsi="ˎ̥" w:eastAsia="黑体" w:cs="黑体"/>
          <w:sz w:val="44"/>
          <w:szCs w:val="44"/>
          <w:shd w:val="clear" w:color="auto" w:fill="FFFFFF"/>
        </w:rPr>
      </w:pPr>
      <w:r>
        <w:rPr>
          <w:rFonts w:hint="eastAsia" w:ascii="黑体" w:hAnsi="ˎ̥" w:eastAsia="黑体" w:cs="黑体"/>
          <w:sz w:val="44"/>
          <w:szCs w:val="44"/>
          <w:shd w:val="clear" w:color="auto" w:fill="FFFFFF"/>
        </w:rPr>
        <w:t>2022年度部门决算公开说明</w:t>
      </w:r>
    </w:p>
    <w:p>
      <w:pPr>
        <w:spacing w:afterAutospacing="1"/>
        <w:jc w:val="center"/>
        <w:rPr>
          <w:rFonts w:hint="eastAsia" w:ascii="黑体" w:hAnsi="ˎ̥" w:eastAsia="黑体" w:cs="黑体"/>
          <w:b/>
          <w:sz w:val="32"/>
          <w:szCs w:val="32"/>
          <w:shd w:val="clear" w:color="auto" w:fill="FFFFFF"/>
        </w:rPr>
      </w:pPr>
    </w:p>
    <w:p>
      <w:pPr>
        <w:spacing w:afterAutospacing="1"/>
        <w:jc w:val="center"/>
        <w:rPr>
          <w:rFonts w:ascii="黑体" w:hAnsi="宋体" w:eastAsia="黑体" w:cs="黑体"/>
          <w:sz w:val="44"/>
          <w:szCs w:val="44"/>
          <w:shd w:val="clear" w:color="auto" w:fill="FFFFFF"/>
        </w:rPr>
      </w:pPr>
      <w:bookmarkStart w:id="0" w:name="_Toc11440_WPSOffice_Type2"/>
      <w:r>
        <w:rPr>
          <w:rFonts w:hint="eastAsia" w:ascii="黑体" w:hAnsi="宋体" w:eastAsia="黑体" w:cs="黑体"/>
          <w:sz w:val="44"/>
          <w:szCs w:val="44"/>
          <w:shd w:val="clear" w:color="auto" w:fill="FFFFFF"/>
        </w:rPr>
        <w:t>目录</w:t>
      </w:r>
    </w:p>
    <w:p>
      <w:pPr>
        <w:pStyle w:val="11"/>
        <w:tabs>
          <w:tab w:val="right" w:leader="dot" w:pos="8306"/>
        </w:tabs>
        <w:spacing w:beforeAutospacing="0"/>
        <w:rPr>
          <w:sz w:val="32"/>
          <w:szCs w:val="32"/>
          <w:shd w:val="clear" w:color="auto" w:fill="FFFFFF"/>
        </w:rPr>
      </w:pPr>
      <w:r>
        <w:rPr>
          <w:rFonts w:hint="eastAsia" w:ascii="黑体" w:hAnsi="ˎ̥" w:eastAsia="黑体" w:cs="黑体"/>
          <w:sz w:val="32"/>
          <w:szCs w:val="32"/>
          <w:shd w:val="clear" w:color="auto" w:fill="FFFFFF"/>
        </w:rPr>
        <w:t>第一部分 基本情况</w:t>
      </w:r>
      <w:r>
        <w:rPr>
          <w:sz w:val="32"/>
          <w:szCs w:val="32"/>
          <w:shd w:val="clear" w:color="auto" w:fill="FFFFFF"/>
        </w:rPr>
        <w:tab/>
      </w:r>
      <w:r>
        <w:rPr>
          <w:sz w:val="32"/>
          <w:szCs w:val="32"/>
          <w:shd w:val="clear" w:color="auto" w:fill="FFFFFF"/>
        </w:rPr>
        <w:t>3</w:t>
      </w:r>
    </w:p>
    <w:p>
      <w:pPr>
        <w:pStyle w:val="11"/>
        <w:tabs>
          <w:tab w:val="right" w:leader="dot" w:pos="8306"/>
        </w:tabs>
        <w:spacing w:beforeAutospacing="0"/>
        <w:ind w:left="200"/>
        <w:rPr>
          <w:rFonts w:ascii="仿宋" w:hAnsi="仿宋" w:eastAsia="仿宋" w:cs="仿宋"/>
          <w:sz w:val="32"/>
          <w:szCs w:val="32"/>
          <w:shd w:val="clear" w:color="auto" w:fill="FFFFFF"/>
        </w:rPr>
      </w:pPr>
      <w:r>
        <w:rPr>
          <w:rFonts w:ascii="仿宋" w:hAnsi="仿宋" w:eastAsia="仿宋" w:cs="仿宋"/>
          <w:sz w:val="32"/>
          <w:szCs w:val="32"/>
          <w:shd w:val="clear" w:color="auto" w:fill="FFFFFF"/>
        </w:rPr>
        <w:t>一、部门职责</w:t>
      </w:r>
      <w:r>
        <w:rPr>
          <w:rFonts w:hint="eastAsia" w:ascii="仿宋" w:hAnsi="仿宋" w:eastAsia="仿宋" w:cs="仿宋"/>
          <w:sz w:val="32"/>
          <w:szCs w:val="32"/>
          <w:shd w:val="clear" w:color="auto" w:fill="FFFFFF"/>
        </w:rPr>
        <w:tab/>
      </w:r>
      <w:r>
        <w:rPr>
          <w:rFonts w:hint="eastAsia" w:ascii="仿宋" w:hAnsi="仿宋" w:eastAsia="仿宋" w:cs="仿宋"/>
          <w:sz w:val="32"/>
          <w:szCs w:val="32"/>
          <w:shd w:val="clear" w:color="auto" w:fill="FFFFFF"/>
        </w:rPr>
        <w:t>3</w:t>
      </w:r>
    </w:p>
    <w:p>
      <w:pPr>
        <w:pStyle w:val="11"/>
        <w:tabs>
          <w:tab w:val="right" w:leader="dot" w:pos="8306"/>
        </w:tabs>
        <w:spacing w:beforeAutospacing="0"/>
        <w:ind w:left="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二、机构设置</w:t>
      </w:r>
      <w:r>
        <w:rPr>
          <w:rFonts w:hint="eastAsia" w:ascii="仿宋" w:hAnsi="仿宋" w:eastAsia="仿宋" w:cs="仿宋"/>
          <w:sz w:val="32"/>
          <w:szCs w:val="32"/>
          <w:shd w:val="clear" w:color="auto" w:fill="FFFFFF"/>
        </w:rPr>
        <w:tab/>
      </w:r>
      <w:r>
        <w:rPr>
          <w:rFonts w:hint="eastAsia" w:ascii="仿宋" w:hAnsi="仿宋" w:eastAsia="仿宋" w:cs="仿宋"/>
          <w:sz w:val="32"/>
          <w:szCs w:val="32"/>
          <w:shd w:val="clear" w:color="auto" w:fill="FFFFFF"/>
        </w:rPr>
        <w:t>3</w:t>
      </w:r>
    </w:p>
    <w:p>
      <w:pPr>
        <w:pStyle w:val="11"/>
        <w:tabs>
          <w:tab w:val="right" w:leader="dot" w:pos="8306"/>
        </w:tabs>
        <w:spacing w:beforeAutospacing="0"/>
        <w:rPr>
          <w:sz w:val="32"/>
          <w:szCs w:val="32"/>
          <w:shd w:val="clear" w:color="auto" w:fill="FFFFFF"/>
        </w:rPr>
      </w:pPr>
      <w:r>
        <w:rPr>
          <w:rFonts w:hint="eastAsia" w:ascii="黑体" w:hAnsi="ˎ̥" w:eastAsia="黑体" w:cs="黑体"/>
          <w:sz w:val="32"/>
          <w:szCs w:val="32"/>
          <w:shd w:val="clear" w:color="auto" w:fill="FFFFFF"/>
        </w:rPr>
        <w:t>第二部分  2022年度部门决算公开表</w:t>
      </w:r>
      <w:r>
        <w:rPr>
          <w:sz w:val="32"/>
          <w:szCs w:val="32"/>
          <w:shd w:val="clear" w:color="auto" w:fill="FFFFFF"/>
        </w:rPr>
        <w:tab/>
      </w:r>
      <w:r>
        <w:rPr>
          <w:sz w:val="32"/>
          <w:szCs w:val="32"/>
          <w:shd w:val="clear" w:color="auto" w:fill="FFFFFF"/>
        </w:rPr>
        <w:t>3</w:t>
      </w:r>
    </w:p>
    <w:p>
      <w:pPr>
        <w:pStyle w:val="11"/>
        <w:tabs>
          <w:tab w:val="right" w:leader="dot" w:pos="8306"/>
        </w:tabs>
        <w:spacing w:beforeAutospacing="0"/>
        <w:rPr>
          <w:sz w:val="32"/>
          <w:szCs w:val="32"/>
          <w:shd w:val="clear" w:color="auto" w:fill="FFFFFF"/>
        </w:rPr>
      </w:pPr>
      <w:r>
        <w:rPr>
          <w:rFonts w:hint="eastAsia" w:ascii="黑体" w:hAnsi="宋体" w:eastAsia="黑体" w:cs="黑体"/>
          <w:sz w:val="32"/>
          <w:szCs w:val="32"/>
          <w:shd w:val="clear" w:color="auto" w:fill="FFFFFF"/>
        </w:rPr>
        <w:t>第三部分</w:t>
      </w:r>
      <w:r>
        <w:rPr>
          <w:rFonts w:hint="eastAsia" w:ascii="黑体" w:hAnsi="ˎ̥" w:eastAsia="黑体" w:cs="黑体"/>
          <w:sz w:val="32"/>
          <w:szCs w:val="32"/>
          <w:shd w:val="clear" w:color="auto" w:fill="FFFFFF"/>
        </w:rPr>
        <w:t>2022年度部门决算情况说明</w:t>
      </w:r>
      <w:r>
        <w:rPr>
          <w:sz w:val="32"/>
          <w:szCs w:val="32"/>
          <w:shd w:val="clear" w:color="auto" w:fill="FFFFFF"/>
        </w:rPr>
        <w:tab/>
      </w:r>
      <w:r>
        <w:rPr>
          <w:sz w:val="32"/>
          <w:szCs w:val="32"/>
          <w:shd w:val="clear" w:color="auto" w:fill="FFFFFF"/>
        </w:rPr>
        <w:t>4</w:t>
      </w:r>
    </w:p>
    <w:p>
      <w:pPr>
        <w:pStyle w:val="11"/>
        <w:tabs>
          <w:tab w:val="right" w:leader="dot" w:pos="8306"/>
        </w:tabs>
        <w:spacing w:beforeAutospacing="0"/>
        <w:ind w:left="200"/>
        <w:rPr>
          <w:rFonts w:ascii="仿宋" w:hAnsi="仿宋" w:eastAsia="仿宋" w:cs="仿宋"/>
          <w:sz w:val="32"/>
          <w:szCs w:val="32"/>
          <w:shd w:val="clear" w:color="auto" w:fill="FFFFFF"/>
        </w:rPr>
      </w:pPr>
      <w:r>
        <w:rPr>
          <w:rFonts w:hint="eastAsia" w:ascii="仿宋" w:hAnsi="仿宋" w:eastAsia="仿宋" w:cs="仿宋"/>
          <w:bCs/>
          <w:sz w:val="32"/>
          <w:szCs w:val="32"/>
          <w:shd w:val="clear" w:color="auto" w:fill="FFFFFF"/>
        </w:rPr>
        <w:t>一、收入支出总体情况说明</w:t>
      </w:r>
      <w:r>
        <w:rPr>
          <w:rFonts w:hint="eastAsia" w:ascii="仿宋" w:hAnsi="仿宋" w:eastAsia="仿宋" w:cs="仿宋"/>
          <w:sz w:val="32"/>
          <w:szCs w:val="32"/>
          <w:shd w:val="clear" w:color="auto" w:fill="FFFFFF"/>
        </w:rPr>
        <w:tab/>
      </w:r>
      <w:r>
        <w:rPr>
          <w:rFonts w:hint="eastAsia" w:ascii="仿宋" w:hAnsi="仿宋" w:eastAsia="仿宋" w:cs="仿宋"/>
          <w:sz w:val="32"/>
          <w:szCs w:val="32"/>
          <w:shd w:val="clear" w:color="auto" w:fill="FFFFFF"/>
        </w:rPr>
        <w:t>4</w:t>
      </w:r>
    </w:p>
    <w:p>
      <w:pPr>
        <w:pStyle w:val="11"/>
        <w:tabs>
          <w:tab w:val="right" w:leader="dot" w:pos="8306"/>
        </w:tabs>
        <w:spacing w:beforeAutospacing="0"/>
        <w:ind w:left="200"/>
        <w:rPr>
          <w:rFonts w:ascii="仿宋" w:hAnsi="仿宋" w:eastAsia="仿宋" w:cs="仿宋"/>
          <w:sz w:val="32"/>
          <w:szCs w:val="32"/>
          <w:shd w:val="clear" w:color="auto" w:fill="FFFFFF"/>
        </w:rPr>
      </w:pPr>
      <w:r>
        <w:rPr>
          <w:rFonts w:hint="eastAsia" w:ascii="仿宋" w:hAnsi="仿宋" w:eastAsia="仿宋" w:cs="仿宋"/>
          <w:bCs/>
          <w:sz w:val="32"/>
          <w:szCs w:val="32"/>
          <w:shd w:val="clear" w:color="auto" w:fill="FFFFFF"/>
        </w:rPr>
        <w:t>二、收入决算情况说明</w:t>
      </w:r>
      <w:r>
        <w:rPr>
          <w:rFonts w:hint="eastAsia" w:ascii="仿宋" w:hAnsi="仿宋" w:eastAsia="仿宋" w:cs="仿宋"/>
          <w:sz w:val="32"/>
          <w:szCs w:val="32"/>
          <w:shd w:val="clear" w:color="auto" w:fill="FFFFFF"/>
        </w:rPr>
        <w:tab/>
      </w:r>
      <w:r>
        <w:rPr>
          <w:rFonts w:hint="eastAsia" w:ascii="仿宋" w:hAnsi="仿宋" w:eastAsia="仿宋" w:cs="仿宋"/>
          <w:sz w:val="32"/>
          <w:szCs w:val="32"/>
          <w:shd w:val="clear" w:color="auto" w:fill="FFFFFF"/>
        </w:rPr>
        <w:t>5</w:t>
      </w:r>
    </w:p>
    <w:p>
      <w:pPr>
        <w:pStyle w:val="11"/>
        <w:tabs>
          <w:tab w:val="right" w:leader="dot" w:pos="8306"/>
        </w:tabs>
        <w:spacing w:beforeAutospacing="0"/>
        <w:ind w:left="200"/>
        <w:rPr>
          <w:rFonts w:ascii="仿宋" w:hAnsi="仿宋" w:eastAsia="仿宋" w:cs="仿宋"/>
          <w:sz w:val="32"/>
          <w:szCs w:val="32"/>
          <w:shd w:val="clear" w:color="auto" w:fill="FFFFFF"/>
        </w:rPr>
      </w:pPr>
      <w:r>
        <w:rPr>
          <w:rFonts w:hint="eastAsia" w:ascii="仿宋" w:hAnsi="仿宋" w:eastAsia="仿宋" w:cs="仿宋"/>
          <w:bCs/>
          <w:sz w:val="32"/>
          <w:szCs w:val="32"/>
          <w:shd w:val="clear" w:color="auto" w:fill="FFFFFF"/>
        </w:rPr>
        <w:t>三、支出决算情况说明</w:t>
      </w:r>
      <w:r>
        <w:rPr>
          <w:rFonts w:hint="eastAsia" w:ascii="仿宋" w:hAnsi="仿宋" w:eastAsia="仿宋" w:cs="仿宋"/>
          <w:sz w:val="32"/>
          <w:szCs w:val="32"/>
          <w:shd w:val="clear" w:color="auto" w:fill="FFFFFF"/>
        </w:rPr>
        <w:tab/>
      </w:r>
      <w:r>
        <w:rPr>
          <w:rFonts w:hint="eastAsia" w:ascii="仿宋" w:hAnsi="仿宋" w:eastAsia="仿宋" w:cs="仿宋"/>
          <w:sz w:val="32"/>
          <w:szCs w:val="32"/>
          <w:shd w:val="clear" w:color="auto" w:fill="FFFFFF"/>
        </w:rPr>
        <w:t>5</w:t>
      </w:r>
    </w:p>
    <w:p>
      <w:pPr>
        <w:pStyle w:val="11"/>
        <w:tabs>
          <w:tab w:val="right" w:leader="dot" w:pos="8306"/>
        </w:tabs>
        <w:spacing w:beforeAutospacing="0"/>
        <w:ind w:left="200"/>
        <w:rPr>
          <w:rFonts w:ascii="仿宋" w:hAnsi="仿宋" w:eastAsia="仿宋" w:cs="仿宋"/>
          <w:sz w:val="32"/>
          <w:szCs w:val="32"/>
          <w:shd w:val="clear" w:color="auto" w:fill="FFFFFF"/>
        </w:rPr>
      </w:pPr>
      <w:r>
        <w:rPr>
          <w:rFonts w:hint="eastAsia" w:ascii="仿宋" w:hAnsi="仿宋" w:eastAsia="仿宋" w:cs="仿宋"/>
          <w:bCs/>
          <w:sz w:val="32"/>
          <w:szCs w:val="32"/>
          <w:shd w:val="clear" w:color="auto" w:fill="FFFFFF"/>
        </w:rPr>
        <w:t>四、财政拨款收入支出决算情况说明</w:t>
      </w:r>
      <w:r>
        <w:rPr>
          <w:rFonts w:hint="eastAsia" w:ascii="仿宋" w:hAnsi="仿宋" w:eastAsia="仿宋" w:cs="仿宋"/>
          <w:sz w:val="32"/>
          <w:szCs w:val="32"/>
          <w:shd w:val="clear" w:color="auto" w:fill="FFFFFF"/>
        </w:rPr>
        <w:tab/>
      </w:r>
      <w:r>
        <w:rPr>
          <w:rFonts w:hint="eastAsia" w:ascii="仿宋" w:hAnsi="仿宋" w:eastAsia="仿宋" w:cs="仿宋"/>
          <w:sz w:val="32"/>
          <w:szCs w:val="32"/>
          <w:shd w:val="clear" w:color="auto" w:fill="FFFFFF"/>
        </w:rPr>
        <w:t>5</w:t>
      </w:r>
    </w:p>
    <w:p>
      <w:pPr>
        <w:pStyle w:val="11"/>
        <w:tabs>
          <w:tab w:val="right" w:leader="dot" w:pos="8306"/>
        </w:tabs>
        <w:spacing w:beforeAutospacing="0"/>
        <w:ind w:left="200"/>
        <w:rPr>
          <w:rFonts w:ascii="仿宋" w:hAnsi="仿宋" w:eastAsia="仿宋" w:cs="仿宋"/>
          <w:sz w:val="32"/>
          <w:szCs w:val="32"/>
          <w:shd w:val="clear" w:color="auto" w:fill="FFFFFF"/>
        </w:rPr>
      </w:pPr>
      <w:r>
        <w:rPr>
          <w:rFonts w:hint="eastAsia" w:ascii="仿宋" w:hAnsi="仿宋" w:eastAsia="仿宋" w:cs="仿宋"/>
          <w:bCs/>
          <w:sz w:val="32"/>
          <w:szCs w:val="32"/>
          <w:shd w:val="clear" w:color="auto" w:fill="FFFFFF"/>
        </w:rPr>
        <w:t>五、一般公共预算财政拨款支出决算情况说明</w:t>
      </w:r>
      <w:r>
        <w:rPr>
          <w:rFonts w:hint="eastAsia" w:ascii="仿宋" w:hAnsi="仿宋" w:eastAsia="仿宋" w:cs="仿宋"/>
          <w:sz w:val="32"/>
          <w:szCs w:val="32"/>
          <w:shd w:val="clear" w:color="auto" w:fill="FFFFFF"/>
        </w:rPr>
        <w:tab/>
      </w:r>
      <w:r>
        <w:rPr>
          <w:rFonts w:hint="eastAsia" w:ascii="仿宋" w:hAnsi="仿宋" w:eastAsia="仿宋" w:cs="仿宋"/>
          <w:sz w:val="32"/>
          <w:szCs w:val="32"/>
          <w:shd w:val="clear" w:color="auto" w:fill="FFFFFF"/>
        </w:rPr>
        <w:t>6</w:t>
      </w:r>
    </w:p>
    <w:p>
      <w:pPr>
        <w:pStyle w:val="11"/>
        <w:tabs>
          <w:tab w:val="left" w:pos="7563"/>
          <w:tab w:val="right" w:leader="dot" w:pos="8306"/>
        </w:tabs>
        <w:spacing w:beforeAutospacing="0"/>
        <w:ind w:left="200"/>
        <w:rPr>
          <w:rFonts w:ascii="仿宋" w:hAnsi="仿宋" w:eastAsia="仿宋" w:cs="仿宋"/>
          <w:sz w:val="32"/>
          <w:szCs w:val="32"/>
          <w:shd w:val="clear" w:color="auto" w:fill="FFFFFF"/>
        </w:rPr>
      </w:pPr>
      <w:r>
        <w:rPr>
          <w:rFonts w:hint="eastAsia" w:ascii="仿宋" w:hAnsi="仿宋" w:eastAsia="仿宋" w:cs="仿宋"/>
          <w:bCs/>
          <w:sz w:val="32"/>
          <w:szCs w:val="32"/>
          <w:shd w:val="clear" w:color="auto" w:fill="FFFFFF"/>
        </w:rPr>
        <w:t>六、一般公共预算财政拨款基本支出决算情况说明</w:t>
      </w:r>
      <w:r>
        <w:rPr>
          <w:rFonts w:hint="eastAsia" w:ascii="仿宋" w:hAnsi="仿宋" w:eastAsia="仿宋" w:cs="仿宋"/>
          <w:sz w:val="32"/>
          <w:szCs w:val="32"/>
          <w:shd w:val="clear" w:color="auto" w:fill="FFFFFF"/>
        </w:rPr>
        <w:tab/>
      </w:r>
      <w:r>
        <w:rPr>
          <w:rFonts w:hint="eastAsia" w:ascii="仿宋" w:hAnsi="仿宋" w:eastAsia="仿宋" w:cs="仿宋"/>
          <w:sz w:val="32"/>
          <w:szCs w:val="32"/>
          <w:shd w:val="clear" w:color="auto" w:fill="FFFFFF"/>
        </w:rPr>
        <w:tab/>
      </w:r>
      <w:r>
        <w:rPr>
          <w:rFonts w:hint="eastAsia" w:ascii="仿宋" w:hAnsi="仿宋" w:eastAsia="仿宋" w:cs="仿宋"/>
          <w:sz w:val="32"/>
          <w:szCs w:val="32"/>
          <w:shd w:val="clear" w:color="auto" w:fill="FFFFFF"/>
        </w:rPr>
        <w:t>7</w:t>
      </w:r>
    </w:p>
    <w:p>
      <w:pPr>
        <w:pStyle w:val="11"/>
        <w:numPr>
          <w:ilvl w:val="0"/>
          <w:numId w:val="1"/>
        </w:numPr>
        <w:tabs>
          <w:tab w:val="left" w:pos="7926"/>
          <w:tab w:val="right" w:leader="dot" w:pos="8306"/>
          <w:tab w:val="clear" w:pos="720"/>
        </w:tabs>
        <w:spacing w:beforeAutospacing="0"/>
        <w:ind w:left="320" w:leftChars="0" w:firstLine="0" w:firstLineChars="0"/>
        <w:rPr>
          <w:rFonts w:ascii="仿宋" w:hAnsi="仿宋" w:eastAsia="仿宋" w:cs="仿宋"/>
          <w:sz w:val="32"/>
          <w:szCs w:val="32"/>
          <w:shd w:val="clear" w:color="auto" w:fill="FFFFFF"/>
        </w:rPr>
      </w:pPr>
      <w:r>
        <w:rPr>
          <w:rFonts w:hint="eastAsia" w:ascii="仿宋" w:hAnsi="仿宋" w:eastAsia="仿宋" w:cs="仿宋"/>
          <w:bCs/>
          <w:sz w:val="32"/>
          <w:szCs w:val="32"/>
          <w:shd w:val="clear" w:color="auto" w:fill="FFFFFF"/>
        </w:rPr>
        <w:t>政府性基金预算财政拨款收入支出决算情况说明</w:t>
      </w:r>
      <w:r>
        <w:rPr>
          <w:rFonts w:hint="eastAsia" w:ascii="仿宋" w:hAnsi="仿宋" w:eastAsia="仿宋" w:cs="仿宋"/>
          <w:sz w:val="32"/>
          <w:szCs w:val="32"/>
          <w:shd w:val="clear" w:color="auto" w:fill="FFFFFF"/>
        </w:rPr>
        <w:tab/>
      </w:r>
      <w:r>
        <w:rPr>
          <w:rFonts w:hint="eastAsia" w:ascii="仿宋" w:hAnsi="仿宋" w:eastAsia="仿宋" w:cs="仿宋"/>
          <w:sz w:val="32"/>
          <w:szCs w:val="32"/>
          <w:shd w:val="clear" w:color="auto" w:fill="FFFFFF"/>
        </w:rPr>
        <w:tab/>
      </w:r>
      <w:r>
        <w:rPr>
          <w:rFonts w:hint="eastAsia" w:ascii="仿宋" w:hAnsi="仿宋" w:eastAsia="仿宋" w:cs="仿宋"/>
          <w:sz w:val="32"/>
          <w:szCs w:val="32"/>
          <w:shd w:val="clear" w:color="auto" w:fill="FFFFFF"/>
        </w:rPr>
        <w:t>8</w:t>
      </w:r>
    </w:p>
    <w:p>
      <w:pPr>
        <w:pStyle w:val="11"/>
        <w:numPr>
          <w:ilvl w:val="0"/>
          <w:numId w:val="1"/>
        </w:numPr>
        <w:tabs>
          <w:tab w:val="right" w:leader="dot" w:pos="8306"/>
          <w:tab w:val="clear" w:pos="720"/>
        </w:tabs>
        <w:spacing w:beforeAutospacing="0"/>
        <w:ind w:left="320" w:leftChars="0" w:firstLine="0" w:firstLineChars="0"/>
        <w:rPr>
          <w:rFonts w:ascii="仿宋" w:hAnsi="仿宋" w:eastAsia="仿宋" w:cs="仿宋"/>
          <w:sz w:val="32"/>
          <w:szCs w:val="32"/>
          <w:shd w:val="clear" w:color="auto" w:fill="FFFFFF"/>
        </w:rPr>
      </w:pPr>
      <w:r>
        <w:rPr>
          <w:rFonts w:hint="eastAsia" w:ascii="仿宋" w:hAnsi="仿宋" w:eastAsia="仿宋" w:cs="仿宋"/>
          <w:bCs/>
          <w:sz w:val="32"/>
          <w:szCs w:val="32"/>
          <w:shd w:val="clear" w:color="auto" w:fill="FFFFFF"/>
        </w:rPr>
        <w:t>国有资本经营预算财政拨款收入支出决算情况说明</w:t>
      </w:r>
      <w:r>
        <w:rPr>
          <w:rFonts w:hint="eastAsia" w:ascii="仿宋" w:hAnsi="仿宋" w:eastAsia="仿宋" w:cs="仿宋"/>
          <w:sz w:val="32"/>
          <w:szCs w:val="32"/>
          <w:shd w:val="clear" w:color="auto" w:fill="FFFFFF"/>
        </w:rPr>
        <w:tab/>
      </w:r>
      <w:r>
        <w:rPr>
          <w:rFonts w:hint="eastAsia" w:ascii="仿宋" w:hAnsi="仿宋" w:eastAsia="仿宋" w:cs="仿宋"/>
          <w:sz w:val="32"/>
          <w:szCs w:val="32"/>
          <w:shd w:val="clear" w:color="auto" w:fill="FFFFFF"/>
        </w:rPr>
        <w:t>8</w:t>
      </w:r>
    </w:p>
    <w:p>
      <w:pPr>
        <w:pStyle w:val="11"/>
        <w:tabs>
          <w:tab w:val="right" w:leader="dot" w:pos="8306"/>
        </w:tabs>
        <w:spacing w:beforeAutospacing="0"/>
        <w:ind w:left="200"/>
        <w:rPr>
          <w:rFonts w:ascii="仿宋" w:hAnsi="仿宋" w:eastAsia="仿宋" w:cs="仿宋"/>
          <w:sz w:val="32"/>
          <w:szCs w:val="32"/>
          <w:shd w:val="clear" w:color="auto" w:fill="FFFFFF"/>
        </w:rPr>
      </w:pPr>
      <w:r>
        <w:rPr>
          <w:rFonts w:hint="eastAsia" w:ascii="仿宋" w:hAnsi="仿宋" w:eastAsia="仿宋" w:cs="仿宋"/>
          <w:bCs/>
          <w:sz w:val="32"/>
          <w:szCs w:val="32"/>
          <w:shd w:val="clear" w:color="auto" w:fill="FFFFFF"/>
        </w:rPr>
        <w:t>九、财政拨款“三公”经费支出决算情况说明</w:t>
      </w:r>
      <w:r>
        <w:rPr>
          <w:rFonts w:hint="eastAsia" w:ascii="仿宋" w:hAnsi="仿宋" w:eastAsia="仿宋" w:cs="仿宋"/>
          <w:sz w:val="32"/>
          <w:szCs w:val="32"/>
          <w:shd w:val="clear" w:color="auto" w:fill="FFFFFF"/>
        </w:rPr>
        <w:tab/>
      </w:r>
      <w:r>
        <w:rPr>
          <w:rFonts w:hint="eastAsia" w:ascii="仿宋" w:hAnsi="仿宋" w:eastAsia="仿宋" w:cs="仿宋"/>
          <w:sz w:val="32"/>
          <w:szCs w:val="32"/>
          <w:shd w:val="clear" w:color="auto" w:fill="FFFFFF"/>
        </w:rPr>
        <w:t>8</w:t>
      </w:r>
    </w:p>
    <w:p>
      <w:pPr>
        <w:pStyle w:val="11"/>
        <w:tabs>
          <w:tab w:val="right" w:leader="dot" w:pos="8306"/>
        </w:tabs>
        <w:spacing w:beforeAutospacing="0"/>
        <w:ind w:left="200"/>
        <w:rPr>
          <w:rFonts w:ascii="仿宋" w:hAnsi="仿宋" w:eastAsia="仿宋" w:cs="仿宋"/>
          <w:sz w:val="32"/>
          <w:szCs w:val="32"/>
          <w:shd w:val="clear" w:color="auto" w:fill="FFFFFF"/>
        </w:rPr>
      </w:pPr>
      <w:r>
        <w:rPr>
          <w:rFonts w:hint="eastAsia" w:ascii="仿宋" w:hAnsi="仿宋" w:eastAsia="仿宋" w:cs="仿宋"/>
          <w:bCs/>
          <w:sz w:val="32"/>
          <w:szCs w:val="32"/>
          <w:shd w:val="clear" w:color="auto" w:fill="FFFFFF"/>
        </w:rPr>
        <w:t>十、预算绩效情况说明</w:t>
      </w:r>
      <w:r>
        <w:rPr>
          <w:rFonts w:hint="eastAsia" w:ascii="仿宋" w:hAnsi="仿宋" w:eastAsia="仿宋" w:cs="仿宋"/>
          <w:sz w:val="32"/>
          <w:szCs w:val="32"/>
          <w:shd w:val="clear" w:color="auto" w:fill="FFFFFF"/>
        </w:rPr>
        <w:tab/>
      </w:r>
      <w:r>
        <w:rPr>
          <w:rFonts w:hint="eastAsia" w:ascii="仿宋" w:hAnsi="仿宋" w:eastAsia="仿宋" w:cs="仿宋"/>
          <w:sz w:val="32"/>
          <w:szCs w:val="32"/>
          <w:shd w:val="clear" w:color="auto" w:fill="FFFFFF"/>
        </w:rPr>
        <w:t>11</w:t>
      </w:r>
    </w:p>
    <w:p>
      <w:pPr>
        <w:pStyle w:val="11"/>
        <w:tabs>
          <w:tab w:val="right" w:leader="dot" w:pos="8306"/>
        </w:tabs>
        <w:spacing w:beforeAutospacing="0"/>
        <w:ind w:left="200"/>
        <w:rPr>
          <w:rFonts w:ascii="仿宋" w:hAnsi="仿宋" w:eastAsia="仿宋" w:cs="仿宋"/>
          <w:sz w:val="32"/>
          <w:szCs w:val="32"/>
          <w:shd w:val="clear" w:color="auto" w:fill="FFFFFF"/>
        </w:rPr>
      </w:pPr>
      <w:r>
        <w:rPr>
          <w:rFonts w:hint="eastAsia" w:ascii="仿宋" w:hAnsi="仿宋" w:eastAsia="仿宋" w:cs="仿宋"/>
          <w:bCs/>
          <w:sz w:val="32"/>
          <w:szCs w:val="32"/>
          <w:shd w:val="clear" w:color="auto" w:fill="FFFFFF"/>
        </w:rPr>
        <w:t>十一、其他重要事项情况说明</w:t>
      </w:r>
      <w:r>
        <w:rPr>
          <w:rFonts w:hint="eastAsia" w:ascii="仿宋" w:hAnsi="仿宋" w:eastAsia="仿宋" w:cs="仿宋"/>
          <w:sz w:val="32"/>
          <w:szCs w:val="32"/>
          <w:shd w:val="clear" w:color="auto" w:fill="FFFFFF"/>
        </w:rPr>
        <w:tab/>
      </w:r>
      <w:r>
        <w:rPr>
          <w:rFonts w:hint="eastAsia" w:ascii="仿宋" w:hAnsi="仿宋" w:eastAsia="仿宋" w:cs="仿宋"/>
          <w:sz w:val="32"/>
          <w:szCs w:val="32"/>
          <w:shd w:val="clear" w:color="auto" w:fill="FFFFFF"/>
        </w:rPr>
        <w:t>11</w:t>
      </w:r>
    </w:p>
    <w:p>
      <w:pPr>
        <w:pStyle w:val="11"/>
        <w:tabs>
          <w:tab w:val="right" w:leader="dot" w:pos="8306"/>
        </w:tabs>
        <w:spacing w:beforeAutospacing="0"/>
        <w:rPr>
          <w:rFonts w:hint="eastAsia" w:ascii="黑体" w:hAnsi="ˎ̥" w:eastAsia="黑体" w:cs="黑体"/>
          <w:b/>
          <w:sz w:val="32"/>
          <w:szCs w:val="32"/>
          <w:shd w:val="clear" w:color="auto" w:fill="FFFFFF"/>
        </w:rPr>
      </w:pPr>
      <w:r>
        <w:rPr>
          <w:rFonts w:hint="eastAsia" w:ascii="黑体" w:hAnsi="ˎ̥" w:eastAsia="黑体" w:cs="黑体"/>
          <w:sz w:val="32"/>
          <w:szCs w:val="32"/>
          <w:shd w:val="clear" w:color="auto" w:fill="FFFFFF"/>
        </w:rPr>
        <w:t>第四部分名词解释</w:t>
      </w:r>
      <w:r>
        <w:rPr>
          <w:sz w:val="32"/>
          <w:szCs w:val="32"/>
          <w:shd w:val="clear" w:color="auto" w:fill="FFFFFF"/>
        </w:rPr>
        <w:tab/>
      </w:r>
      <w:bookmarkStart w:id="1" w:name="_Toc15425_WPSOffice_Level1Page"/>
      <w:r>
        <w:rPr>
          <w:sz w:val="32"/>
          <w:szCs w:val="32"/>
          <w:shd w:val="clear" w:color="auto" w:fill="FFFFFF"/>
        </w:rPr>
        <w:t>1</w:t>
      </w:r>
      <w:bookmarkEnd w:id="0"/>
      <w:bookmarkEnd w:id="1"/>
      <w:r>
        <w:rPr>
          <w:sz w:val="32"/>
          <w:szCs w:val="32"/>
          <w:shd w:val="clear" w:color="auto" w:fill="FFFFFF"/>
        </w:rPr>
        <w:t>3</w:t>
      </w:r>
    </w:p>
    <w:p>
      <w:pPr>
        <w:spacing w:afterAutospacing="1"/>
        <w:jc w:val="center"/>
        <w:rPr>
          <w:rFonts w:hint="eastAsia" w:ascii="黑体" w:hAnsi="ˎ̥" w:eastAsia="黑体" w:cs="黑体"/>
          <w:sz w:val="32"/>
          <w:szCs w:val="32"/>
          <w:shd w:val="clear" w:color="auto" w:fill="FFFFFF"/>
        </w:rPr>
      </w:pPr>
      <w:bookmarkStart w:id="2" w:name="_Toc22941_WPSOffice_Level1"/>
      <w:bookmarkStart w:id="3" w:name="_Toc10049_WPSOffice_Level1"/>
      <w:bookmarkStart w:id="4" w:name="_Toc10720_WPSOffice_Level1"/>
      <w:bookmarkStart w:id="5" w:name="_Toc1704_WPSOffice_Level1"/>
      <w:bookmarkStart w:id="6" w:name="_Toc23465_WPSOffice_Level1"/>
      <w:bookmarkStart w:id="7" w:name="_Toc32433_WPSOffice_Level1"/>
      <w:bookmarkStart w:id="8" w:name="_Toc24238_WPSOffice_Level2"/>
      <w:bookmarkStart w:id="9" w:name="_Toc26580_WPSOffice_Level2"/>
      <w:bookmarkStart w:id="10" w:name="_Toc14159_WPSOffice_Level2"/>
      <w:bookmarkStart w:id="11" w:name="_Toc20205_WPSOffice_Level2"/>
      <w:bookmarkStart w:id="12" w:name="_Toc20274_WPSOffice_Level2"/>
      <w:bookmarkStart w:id="13" w:name="_Toc32622_WPSOffice_Level2"/>
    </w:p>
    <w:p>
      <w:pPr>
        <w:spacing w:afterAutospacing="1"/>
        <w:jc w:val="center"/>
        <w:rPr>
          <w:rFonts w:hint="eastAsia" w:ascii="黑体" w:hAnsi="ˎ̥" w:eastAsia="黑体" w:cs="黑体"/>
          <w:sz w:val="32"/>
          <w:szCs w:val="32"/>
          <w:shd w:val="clear" w:color="auto" w:fill="FFFFFF"/>
        </w:rPr>
      </w:pPr>
      <w:r>
        <w:rPr>
          <w:rFonts w:hint="eastAsia" w:ascii="黑体" w:hAnsi="ˎ̥" w:eastAsia="黑体" w:cs="黑体"/>
          <w:sz w:val="32"/>
          <w:szCs w:val="32"/>
          <w:shd w:val="clear" w:color="auto" w:fill="FFFFFF"/>
        </w:rPr>
        <w:t>第一部分</w:t>
      </w:r>
      <w:bookmarkEnd w:id="2"/>
      <w:bookmarkEnd w:id="3"/>
      <w:bookmarkEnd w:id="4"/>
      <w:bookmarkEnd w:id="5"/>
      <w:bookmarkEnd w:id="6"/>
      <w:bookmarkEnd w:id="7"/>
      <w:r>
        <w:rPr>
          <w:rFonts w:hint="eastAsia" w:ascii="黑体" w:hAnsi="ˎ̥" w:eastAsia="黑体" w:cs="黑体"/>
          <w:sz w:val="32"/>
          <w:szCs w:val="32"/>
          <w:shd w:val="clear" w:color="auto" w:fill="FFFFFF"/>
        </w:rPr>
        <w:t>基本情况</w:t>
      </w:r>
    </w:p>
    <w:p>
      <w:pPr>
        <w:spacing w:afterAutospacing="1"/>
        <w:ind w:firstLine="640" w:firstLineChars="200"/>
        <w:rPr>
          <w:rFonts w:ascii="楷体" w:hAnsi="楷体" w:eastAsia="楷体" w:cs="楷体"/>
          <w:sz w:val="32"/>
          <w:szCs w:val="32"/>
          <w:shd w:val="clear" w:color="auto" w:fill="FFFFFF"/>
        </w:rPr>
      </w:pPr>
    </w:p>
    <w:p>
      <w:pPr>
        <w:pStyle w:val="16"/>
        <w:numPr>
          <w:ilvl w:val="0"/>
          <w:numId w:val="2"/>
        </w:numPr>
        <w:spacing w:afterAutospacing="1"/>
        <w:ind w:firstLineChars="0"/>
        <w:rPr>
          <w:rFonts w:ascii="黑体" w:hAnsi="宋体" w:eastAsia="黑体" w:cs="黑体"/>
          <w:sz w:val="32"/>
          <w:szCs w:val="32"/>
          <w:shd w:val="clear" w:color="auto" w:fill="FFFFFF"/>
        </w:rPr>
      </w:pPr>
      <w:r>
        <w:rPr>
          <w:rFonts w:hint="eastAsia" w:ascii="黑体" w:hAnsi="宋体" w:eastAsia="黑体" w:cs="黑体"/>
          <w:sz w:val="32"/>
          <w:szCs w:val="32"/>
          <w:shd w:val="clear" w:color="auto" w:fill="FFFFFF"/>
        </w:rPr>
        <w:t>部门</w:t>
      </w:r>
      <w:bookmarkEnd w:id="8"/>
      <w:r>
        <w:rPr>
          <w:rFonts w:hint="eastAsia" w:ascii="黑体" w:hAnsi="宋体" w:eastAsia="黑体" w:cs="黑体"/>
          <w:sz w:val="32"/>
          <w:szCs w:val="32"/>
          <w:shd w:val="clear" w:color="auto" w:fill="FFFFFF"/>
        </w:rPr>
        <w:t>（单位）职责</w:t>
      </w:r>
      <w:bookmarkEnd w:id="9"/>
      <w:bookmarkEnd w:id="10"/>
      <w:bookmarkEnd w:id="11"/>
      <w:bookmarkEnd w:id="12"/>
      <w:bookmarkEnd w:id="13"/>
    </w:p>
    <w:p>
      <w:pPr>
        <w:pStyle w:val="17"/>
        <w:autoSpaceDE w:val="0"/>
        <w:adjustRightInd w:val="0"/>
        <w:snapToGrid w:val="0"/>
        <w:spacing w:line="520" w:lineRule="exact"/>
        <w:ind w:firstLine="640" w:firstLineChars="200"/>
        <w:rPr>
          <w:rFonts w:hint="default" w:ascii="黑体" w:eastAsia="黑体" w:cs="黑体"/>
          <w:sz w:val="32"/>
          <w:szCs w:val="32"/>
          <w:shd w:val="clear" w:color="auto" w:fill="FFFFFF"/>
        </w:rPr>
      </w:pPr>
      <w:r>
        <w:rPr>
          <w:rFonts w:ascii="仿宋" w:hAnsi="仿宋" w:eastAsia="仿宋" w:cs="仿宋"/>
          <w:kern w:val="2"/>
          <w:sz w:val="32"/>
          <w:szCs w:val="32"/>
        </w:rPr>
        <w:t>贯彻执行党的教育方针和政策，加强园区建设，提高办学水平，实施德、智、体、美等方面全面发展的教育，让每个小孩都能得到较好的学前教育。</w:t>
      </w:r>
    </w:p>
    <w:p>
      <w:pPr>
        <w:spacing w:afterAutospacing="1"/>
        <w:rPr>
          <w:rFonts w:ascii="黑体" w:hAnsi="宋体" w:eastAsia="黑体" w:cs="黑体"/>
          <w:sz w:val="32"/>
          <w:szCs w:val="32"/>
          <w:shd w:val="clear" w:color="auto" w:fill="FFFFFF"/>
        </w:rPr>
      </w:pPr>
    </w:p>
    <w:p>
      <w:pPr>
        <w:pStyle w:val="16"/>
        <w:numPr>
          <w:ilvl w:val="0"/>
          <w:numId w:val="2"/>
        </w:numPr>
        <w:spacing w:afterAutospacing="1"/>
        <w:ind w:firstLineChars="0"/>
        <w:rPr>
          <w:rFonts w:ascii="黑体" w:hAnsi="宋体" w:eastAsia="黑体" w:cs="黑体"/>
          <w:sz w:val="32"/>
          <w:szCs w:val="32"/>
          <w:shd w:val="clear" w:color="auto" w:fill="FFFFFF"/>
        </w:rPr>
      </w:pPr>
      <w:bookmarkStart w:id="14" w:name="_Toc17796_WPSOffice_Level2"/>
      <w:bookmarkStart w:id="15" w:name="_Toc24474_WPSOffice_Level2"/>
      <w:bookmarkStart w:id="16" w:name="_Toc4833_WPSOffice_Level2"/>
      <w:bookmarkStart w:id="17" w:name="_Toc6572_WPSOffice_Level2"/>
      <w:bookmarkStart w:id="18" w:name="_Toc24059_WPSOffice_Level2"/>
      <w:r>
        <w:rPr>
          <w:rFonts w:hint="eastAsia" w:ascii="黑体" w:hAnsi="宋体" w:eastAsia="黑体" w:cs="黑体"/>
          <w:sz w:val="32"/>
          <w:szCs w:val="32"/>
          <w:shd w:val="clear" w:color="auto" w:fill="FFFFFF"/>
        </w:rPr>
        <w:t>机构设置</w:t>
      </w:r>
      <w:bookmarkEnd w:id="14"/>
      <w:bookmarkEnd w:id="15"/>
      <w:bookmarkEnd w:id="16"/>
      <w:bookmarkEnd w:id="17"/>
      <w:bookmarkEnd w:id="18"/>
    </w:p>
    <w:p>
      <w:pPr>
        <w:autoSpaceDE w:val="0"/>
        <w:adjustRightInd w:val="0"/>
        <w:snapToGrid w:val="0"/>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纳入定安县龙河镇中心幼儿园2022度部门决算编制范围的二级预算单位包括：</w:t>
      </w:r>
    </w:p>
    <w:p>
      <w:pPr>
        <w:numPr>
          <w:ilvl w:val="0"/>
          <w:numId w:val="3"/>
        </w:numPr>
        <w:autoSpaceDE w:val="0"/>
        <w:adjustRightInd w:val="0"/>
        <w:snapToGrid w:val="0"/>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定安县龙河镇中心幼儿园本级</w:t>
      </w:r>
    </w:p>
    <w:p>
      <w:pPr>
        <w:numPr>
          <w:ilvl w:val="0"/>
          <w:numId w:val="3"/>
        </w:numPr>
        <w:autoSpaceDE w:val="0"/>
        <w:adjustRightInd w:val="0"/>
        <w:snapToGrid w:val="0"/>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定安县龙河镇中心幼儿园为定安县教育局下属二级预算单位，无下级单位，内设幼儿园园长岗位、幼儿园副园长岗位、幼儿园保教主任岗位、幼儿园后勤主任岗位，财务岗等</w:t>
      </w:r>
    </w:p>
    <w:p>
      <w:pPr>
        <w:spacing w:afterAutospacing="1"/>
        <w:ind w:left="640"/>
        <w:rPr>
          <w:rFonts w:ascii="黑体" w:hAnsi="宋体" w:eastAsia="黑体" w:cs="黑体"/>
          <w:sz w:val="32"/>
          <w:szCs w:val="32"/>
          <w:shd w:val="clear" w:color="auto" w:fill="FFFFFF"/>
        </w:rPr>
      </w:pPr>
    </w:p>
    <w:p>
      <w:pPr>
        <w:spacing w:afterAutospacing="1"/>
        <w:ind w:firstLine="640" w:firstLineChars="200"/>
        <w:rPr>
          <w:rFonts w:hint="eastAsia" w:ascii="仿宋_GB2312" w:hAnsi="ˎ̥" w:eastAsia="仿宋_GB2312" w:cs="仿宋_GB2312"/>
          <w:sz w:val="32"/>
          <w:szCs w:val="32"/>
          <w:shd w:val="clear" w:color="auto" w:fill="FFFFFF"/>
        </w:rPr>
      </w:pPr>
    </w:p>
    <w:p>
      <w:pPr>
        <w:spacing w:afterAutospacing="1"/>
        <w:jc w:val="center"/>
        <w:rPr>
          <w:rFonts w:hint="eastAsia" w:ascii="黑体" w:hAnsi="ˎ̥" w:eastAsia="黑体" w:cs="黑体"/>
          <w:sz w:val="32"/>
          <w:szCs w:val="32"/>
          <w:shd w:val="clear" w:color="auto" w:fill="FFFFFF"/>
        </w:rPr>
      </w:pPr>
      <w:bookmarkStart w:id="19" w:name="_Toc30451_WPSOffice_Level1"/>
      <w:bookmarkStart w:id="20" w:name="_Toc15521_WPSOffice_Level1"/>
      <w:bookmarkStart w:id="21" w:name="_Toc6234_WPSOffice_Level1"/>
      <w:bookmarkStart w:id="22" w:name="_Toc30690_WPSOffice_Level1"/>
      <w:bookmarkStart w:id="23" w:name="_Toc8164_WPSOffice_Level1"/>
      <w:bookmarkStart w:id="24" w:name="_Toc28253_WPSOffice_Level1"/>
      <w:bookmarkStart w:id="25" w:name="_Toc8867_WPSOffice_Level2"/>
      <w:bookmarkStart w:id="26" w:name="_Toc4029_WPSOffice_Level2"/>
      <w:bookmarkStart w:id="27" w:name="_Toc11518_WPSOffice_Level2"/>
      <w:bookmarkStart w:id="28" w:name="_Toc32695_WPSOffice_Level2"/>
      <w:bookmarkStart w:id="29" w:name="_Toc32472_WPSOffice_Level2"/>
      <w:bookmarkStart w:id="30" w:name="_Toc6211_WPSOffice_Level2"/>
      <w:r>
        <w:rPr>
          <w:rFonts w:hint="eastAsia" w:ascii="黑体" w:hAnsi="ˎ̥" w:eastAsia="黑体" w:cs="黑体"/>
          <w:sz w:val="32"/>
          <w:szCs w:val="32"/>
          <w:shd w:val="clear" w:color="auto" w:fill="FFFFFF"/>
        </w:rPr>
        <w:t>第二部分  2022年度部门决算公开报表</w:t>
      </w:r>
      <w:bookmarkEnd w:id="19"/>
      <w:bookmarkEnd w:id="20"/>
      <w:bookmarkEnd w:id="21"/>
      <w:bookmarkEnd w:id="22"/>
      <w:bookmarkEnd w:id="23"/>
      <w:bookmarkEnd w:id="24"/>
    </w:p>
    <w:p>
      <w:pPr>
        <w:spacing w:afterAutospacing="1"/>
        <w:ind w:firstLine="645"/>
        <w:rPr>
          <w:rFonts w:ascii="黑体" w:hAnsi="宋体" w:eastAsia="黑体" w:cs="黑体"/>
          <w:sz w:val="32"/>
          <w:szCs w:val="32"/>
          <w:shd w:val="clear" w:color="auto" w:fill="FFFFFF"/>
        </w:rPr>
      </w:pPr>
      <w:r>
        <w:rPr>
          <w:rFonts w:hint="eastAsia" w:ascii="黑体" w:hAnsi="宋体" w:eastAsia="黑体" w:cs="黑体"/>
          <w:sz w:val="32"/>
          <w:szCs w:val="32"/>
          <w:shd w:val="clear" w:color="auto" w:fill="FFFFFF"/>
        </w:rPr>
        <w:t>一、收入支出决算公开表</w:t>
      </w:r>
      <w:bookmarkEnd w:id="25"/>
      <w:bookmarkEnd w:id="26"/>
      <w:bookmarkEnd w:id="27"/>
      <w:bookmarkEnd w:id="28"/>
      <w:bookmarkEnd w:id="29"/>
      <w:bookmarkEnd w:id="30"/>
    </w:p>
    <w:p>
      <w:pPr>
        <w:spacing w:afterAutospacing="1"/>
        <w:ind w:firstLine="645"/>
        <w:rPr>
          <w:rFonts w:ascii="黑体" w:hAnsi="宋体" w:eastAsia="黑体" w:cs="黑体"/>
          <w:sz w:val="32"/>
          <w:szCs w:val="32"/>
          <w:shd w:val="clear" w:color="auto" w:fill="FFFFFF"/>
        </w:rPr>
      </w:pPr>
      <w:bookmarkStart w:id="31" w:name="_Toc25608_WPSOffice_Level2"/>
      <w:bookmarkStart w:id="32" w:name="_Toc14349_WPSOffice_Level2"/>
      <w:bookmarkStart w:id="33" w:name="_Toc26621_WPSOffice_Level2"/>
      <w:bookmarkStart w:id="34" w:name="_Toc30334_WPSOffice_Level2"/>
      <w:bookmarkStart w:id="35" w:name="_Toc23139_WPSOffice_Level2"/>
      <w:bookmarkStart w:id="36" w:name="_Toc28622_WPSOffice_Level2"/>
      <w:r>
        <w:rPr>
          <w:rFonts w:hint="eastAsia" w:ascii="黑体" w:hAnsi="宋体" w:eastAsia="黑体" w:cs="黑体"/>
          <w:sz w:val="32"/>
          <w:szCs w:val="32"/>
          <w:shd w:val="clear" w:color="auto" w:fill="FFFFFF"/>
        </w:rPr>
        <w:t>二、收入决算公开表</w:t>
      </w:r>
      <w:bookmarkEnd w:id="31"/>
      <w:bookmarkEnd w:id="32"/>
      <w:bookmarkEnd w:id="33"/>
      <w:bookmarkEnd w:id="34"/>
      <w:bookmarkEnd w:id="35"/>
      <w:bookmarkEnd w:id="36"/>
      <w:bookmarkStart w:id="37" w:name="_Toc14658_WPSOffice_Level2"/>
      <w:bookmarkStart w:id="38" w:name="_Toc17626_WPSOffice_Level2"/>
      <w:bookmarkStart w:id="39" w:name="_Toc17858_WPSOffice_Level2"/>
      <w:bookmarkStart w:id="40" w:name="_Toc3262_WPSOffice_Level2"/>
      <w:bookmarkStart w:id="41" w:name="_Toc13854_WPSOffice_Level2"/>
      <w:bookmarkStart w:id="42" w:name="_Toc5489_WPSOffice_Level2"/>
    </w:p>
    <w:p>
      <w:pPr>
        <w:spacing w:afterAutospacing="1"/>
        <w:ind w:firstLine="645"/>
        <w:rPr>
          <w:rFonts w:ascii="黑体" w:hAnsi="宋体" w:eastAsia="黑体" w:cs="黑体"/>
          <w:sz w:val="32"/>
          <w:szCs w:val="32"/>
          <w:shd w:val="clear" w:color="auto" w:fill="FFFFFF"/>
        </w:rPr>
      </w:pPr>
      <w:r>
        <w:rPr>
          <w:rFonts w:hint="eastAsia" w:ascii="黑体" w:hAnsi="宋体" w:eastAsia="黑体" w:cs="黑体"/>
          <w:sz w:val="32"/>
          <w:szCs w:val="32"/>
          <w:shd w:val="clear" w:color="auto" w:fill="FFFFFF"/>
        </w:rPr>
        <w:t>三、支出决算公开表</w:t>
      </w:r>
      <w:bookmarkEnd w:id="37"/>
      <w:bookmarkEnd w:id="38"/>
      <w:bookmarkEnd w:id="39"/>
      <w:bookmarkEnd w:id="40"/>
      <w:bookmarkEnd w:id="41"/>
      <w:bookmarkEnd w:id="42"/>
      <w:bookmarkStart w:id="43" w:name="_Toc13701_WPSOffice_Level2"/>
      <w:bookmarkStart w:id="44" w:name="_Toc21415_WPSOffice_Level2"/>
      <w:bookmarkStart w:id="45" w:name="_Toc23591_WPSOffice_Level2"/>
      <w:bookmarkStart w:id="46" w:name="_Toc23493_WPSOffice_Level2"/>
      <w:bookmarkStart w:id="47" w:name="_Toc7988_WPSOffice_Level2"/>
      <w:bookmarkStart w:id="48" w:name="_Toc4265_WPSOffice_Level2"/>
    </w:p>
    <w:p>
      <w:pPr>
        <w:spacing w:afterAutospacing="1"/>
        <w:ind w:firstLine="645"/>
        <w:rPr>
          <w:rFonts w:ascii="黑体" w:hAnsi="宋体" w:eastAsia="黑体" w:cs="黑体"/>
          <w:sz w:val="32"/>
          <w:szCs w:val="32"/>
          <w:shd w:val="clear" w:color="auto" w:fill="FFFFFF"/>
        </w:rPr>
      </w:pPr>
      <w:r>
        <w:rPr>
          <w:rFonts w:hint="eastAsia" w:ascii="黑体" w:hAnsi="宋体" w:eastAsia="黑体" w:cs="黑体"/>
          <w:sz w:val="32"/>
          <w:szCs w:val="32"/>
          <w:shd w:val="clear" w:color="auto" w:fill="FFFFFF"/>
        </w:rPr>
        <w:t>四、财政拨款收入支出决算公开表</w:t>
      </w:r>
      <w:bookmarkEnd w:id="43"/>
      <w:bookmarkEnd w:id="44"/>
      <w:bookmarkEnd w:id="45"/>
      <w:bookmarkEnd w:id="46"/>
      <w:bookmarkEnd w:id="47"/>
      <w:bookmarkEnd w:id="48"/>
    </w:p>
    <w:p>
      <w:pPr>
        <w:spacing w:afterAutospacing="1"/>
        <w:ind w:firstLine="645"/>
        <w:rPr>
          <w:rFonts w:ascii="黑体" w:hAnsi="宋体" w:eastAsia="黑体" w:cs="黑体"/>
          <w:sz w:val="32"/>
          <w:szCs w:val="32"/>
          <w:shd w:val="clear" w:color="auto" w:fill="FFFFFF"/>
        </w:rPr>
      </w:pPr>
      <w:bookmarkStart w:id="49" w:name="_Toc22783_WPSOffice_Level2"/>
      <w:bookmarkStart w:id="50" w:name="_Toc25166_WPSOffice_Level2"/>
      <w:bookmarkStart w:id="51" w:name="_Toc7879_WPSOffice_Level2"/>
      <w:bookmarkStart w:id="52" w:name="_Toc23829_WPSOffice_Level2"/>
      <w:bookmarkStart w:id="53" w:name="_Toc2158_WPSOffice_Level2"/>
      <w:bookmarkStart w:id="54" w:name="_Toc13516_WPSOffice_Level2"/>
      <w:r>
        <w:rPr>
          <w:rFonts w:hint="eastAsia" w:ascii="黑体" w:hAnsi="宋体" w:eastAsia="黑体" w:cs="黑体"/>
          <w:sz w:val="32"/>
          <w:szCs w:val="32"/>
          <w:shd w:val="clear" w:color="auto" w:fill="FFFFFF"/>
        </w:rPr>
        <w:t>五、一般公共预算财政拨款收入支出决算</w:t>
      </w:r>
      <w:bookmarkEnd w:id="49"/>
      <w:bookmarkEnd w:id="50"/>
      <w:bookmarkEnd w:id="51"/>
      <w:bookmarkEnd w:id="52"/>
      <w:r>
        <w:rPr>
          <w:rFonts w:hint="eastAsia" w:ascii="黑体" w:hAnsi="宋体" w:eastAsia="黑体" w:cs="黑体"/>
          <w:sz w:val="32"/>
          <w:szCs w:val="32"/>
          <w:shd w:val="clear" w:color="auto" w:fill="FFFFFF"/>
        </w:rPr>
        <w:t>公开表</w:t>
      </w:r>
      <w:bookmarkEnd w:id="53"/>
      <w:bookmarkEnd w:id="54"/>
      <w:bookmarkStart w:id="55" w:name="_Toc5343_WPSOffice_Level2"/>
      <w:bookmarkStart w:id="56" w:name="_Toc17833_WPSOffice_Level2"/>
      <w:bookmarkStart w:id="57" w:name="_Toc25362_WPSOffice_Level2"/>
      <w:bookmarkStart w:id="58" w:name="_Toc17283_WPSOffice_Level2"/>
      <w:bookmarkStart w:id="59" w:name="_Toc8373_WPSOffice_Level2"/>
      <w:bookmarkStart w:id="60" w:name="_Toc2632_WPSOffice_Level2"/>
    </w:p>
    <w:p>
      <w:pPr>
        <w:spacing w:afterAutospacing="1"/>
        <w:ind w:firstLine="645"/>
        <w:rPr>
          <w:rFonts w:ascii="黑体" w:hAnsi="宋体" w:eastAsia="黑体" w:cs="黑体"/>
          <w:sz w:val="32"/>
          <w:szCs w:val="32"/>
          <w:shd w:val="clear" w:color="auto" w:fill="FFFFFF"/>
        </w:rPr>
      </w:pPr>
      <w:r>
        <w:rPr>
          <w:rFonts w:hint="eastAsia" w:ascii="黑体" w:hAnsi="宋体" w:eastAsia="黑体" w:cs="黑体"/>
          <w:sz w:val="32"/>
          <w:szCs w:val="32"/>
          <w:shd w:val="clear" w:color="auto" w:fill="FFFFFF"/>
        </w:rPr>
        <w:t>六、一般公共预算财政拨款基本支出决算</w:t>
      </w:r>
      <w:bookmarkEnd w:id="55"/>
      <w:bookmarkEnd w:id="56"/>
      <w:bookmarkEnd w:id="57"/>
      <w:bookmarkEnd w:id="58"/>
      <w:bookmarkEnd w:id="59"/>
      <w:bookmarkEnd w:id="60"/>
      <w:r>
        <w:rPr>
          <w:rFonts w:hint="eastAsia" w:ascii="黑体" w:hAnsi="宋体" w:eastAsia="黑体" w:cs="黑体"/>
          <w:sz w:val="32"/>
          <w:szCs w:val="32"/>
          <w:shd w:val="clear" w:color="auto" w:fill="FFFFFF"/>
        </w:rPr>
        <w:t>公开表</w:t>
      </w:r>
    </w:p>
    <w:p>
      <w:pPr>
        <w:spacing w:afterAutospacing="1"/>
        <w:ind w:left="1210" w:leftChars="304" w:hanging="480" w:hangingChars="150"/>
        <w:rPr>
          <w:rFonts w:ascii="黑体" w:hAnsi="宋体" w:eastAsia="黑体" w:cs="黑体"/>
          <w:sz w:val="32"/>
          <w:szCs w:val="32"/>
          <w:shd w:val="clear" w:color="auto" w:fill="FFFFFF"/>
        </w:rPr>
      </w:pPr>
      <w:bookmarkStart w:id="61" w:name="_Toc6020_WPSOffice_Level2"/>
      <w:bookmarkStart w:id="62" w:name="_Toc21310_WPSOffice_Level2"/>
      <w:bookmarkStart w:id="63" w:name="_Toc11799_WPSOffice_Level2"/>
      <w:bookmarkStart w:id="64" w:name="_Toc13345_WPSOffice_Level2"/>
      <w:bookmarkStart w:id="65" w:name="_Toc5594_WPSOffice_Level2"/>
      <w:bookmarkStart w:id="66" w:name="_Toc1533_WPSOffice_Level2"/>
      <w:r>
        <w:rPr>
          <w:rFonts w:hint="eastAsia" w:ascii="黑体" w:hAnsi="宋体" w:eastAsia="黑体" w:cs="黑体"/>
          <w:sz w:val="32"/>
          <w:szCs w:val="32"/>
          <w:shd w:val="clear" w:color="auto" w:fill="FFFFFF"/>
        </w:rPr>
        <w:t>七、政府性基金预算财政拨款收入支出决算</w:t>
      </w:r>
      <w:bookmarkEnd w:id="61"/>
      <w:bookmarkEnd w:id="62"/>
      <w:bookmarkEnd w:id="63"/>
      <w:bookmarkEnd w:id="64"/>
      <w:bookmarkEnd w:id="65"/>
      <w:bookmarkEnd w:id="66"/>
      <w:r>
        <w:rPr>
          <w:rFonts w:hint="eastAsia" w:ascii="黑体" w:hAnsi="宋体" w:eastAsia="黑体" w:cs="黑体"/>
          <w:sz w:val="32"/>
          <w:szCs w:val="32"/>
          <w:shd w:val="clear" w:color="auto" w:fill="FFFFFF"/>
        </w:rPr>
        <w:t>公开表</w:t>
      </w:r>
    </w:p>
    <w:p>
      <w:pPr>
        <w:spacing w:afterAutospacing="1"/>
        <w:ind w:left="1210" w:leftChars="304" w:hanging="480" w:hangingChars="150"/>
        <w:rPr>
          <w:rFonts w:ascii="黑体" w:hAnsi="宋体" w:eastAsia="黑体" w:cs="黑体"/>
          <w:sz w:val="32"/>
          <w:szCs w:val="32"/>
          <w:shd w:val="clear" w:color="auto" w:fill="FFFFFF"/>
        </w:rPr>
      </w:pPr>
      <w:r>
        <w:rPr>
          <w:rFonts w:hint="eastAsia" w:ascii="黑体" w:hAnsi="宋体" w:eastAsia="黑体" w:cs="黑体"/>
          <w:sz w:val="32"/>
          <w:szCs w:val="32"/>
          <w:shd w:val="clear" w:color="auto" w:fill="FFFFFF"/>
        </w:rPr>
        <w:t>八、国有资本经营预算财政拨款收入支出决算公开表</w:t>
      </w:r>
    </w:p>
    <w:p>
      <w:pPr>
        <w:spacing w:afterAutospacing="1"/>
        <w:ind w:firstLine="640"/>
        <w:rPr>
          <w:rFonts w:ascii="黑体" w:hAnsi="宋体" w:eastAsia="黑体" w:cs="黑体"/>
          <w:sz w:val="32"/>
          <w:szCs w:val="32"/>
          <w:shd w:val="clear" w:color="auto" w:fill="FFFFFF"/>
        </w:rPr>
      </w:pPr>
      <w:bookmarkStart w:id="67" w:name="_Toc1820_WPSOffice_Level2"/>
      <w:bookmarkStart w:id="68" w:name="_Toc29886_WPSOffice_Level2"/>
      <w:bookmarkStart w:id="69" w:name="_Toc19961_WPSOffice_Level2"/>
      <w:bookmarkStart w:id="70" w:name="_Toc9377_WPSOffice_Level2"/>
      <w:r>
        <w:rPr>
          <w:rFonts w:hint="eastAsia" w:ascii="黑体" w:hAnsi="宋体" w:eastAsia="黑体" w:cs="黑体"/>
          <w:sz w:val="32"/>
          <w:szCs w:val="32"/>
          <w:shd w:val="clear" w:color="auto" w:fill="FFFFFF"/>
        </w:rPr>
        <w:t>九、财政拨款“三公”经费支出决算</w:t>
      </w:r>
      <w:bookmarkEnd w:id="67"/>
      <w:bookmarkEnd w:id="68"/>
      <w:bookmarkEnd w:id="69"/>
      <w:bookmarkEnd w:id="70"/>
      <w:r>
        <w:rPr>
          <w:rFonts w:hint="eastAsia" w:ascii="黑体" w:hAnsi="宋体" w:eastAsia="黑体" w:cs="黑体"/>
          <w:sz w:val="32"/>
          <w:szCs w:val="32"/>
          <w:shd w:val="clear" w:color="auto" w:fill="FFFFFF"/>
        </w:rPr>
        <w:t>公开表</w:t>
      </w:r>
    </w:p>
    <w:p>
      <w:pPr>
        <w:spacing w:afterAutospacing="1"/>
        <w:ind w:firstLine="640"/>
        <w:rPr>
          <w:rFonts w:ascii="黑体" w:hAnsi="宋体" w:eastAsia="黑体" w:cs="黑体"/>
          <w:sz w:val="32"/>
          <w:szCs w:val="32"/>
          <w:shd w:val="clear" w:color="auto" w:fill="FFFFFF"/>
        </w:rPr>
      </w:pPr>
      <w:r>
        <w:rPr>
          <w:rFonts w:hint="eastAsia" w:ascii="黑体" w:hAnsi="宋体" w:eastAsia="黑体" w:cs="黑体"/>
          <w:w w:val="96"/>
          <w:sz w:val="32"/>
          <w:szCs w:val="32"/>
          <w:shd w:val="clear" w:color="auto" w:fill="FFFFFF"/>
        </w:rPr>
        <w:t>以上报表见附件1。</w:t>
      </w:r>
    </w:p>
    <w:p>
      <w:pPr>
        <w:spacing w:afterAutospacing="1"/>
        <w:rPr>
          <w:rFonts w:ascii="黑体" w:hAnsi="宋体" w:eastAsia="黑体" w:cs="黑体"/>
          <w:sz w:val="32"/>
          <w:szCs w:val="32"/>
          <w:shd w:val="clear" w:color="auto" w:fill="FFFFFF"/>
        </w:rPr>
      </w:pPr>
    </w:p>
    <w:p>
      <w:pPr>
        <w:spacing w:afterAutospacing="1"/>
        <w:jc w:val="center"/>
        <w:rPr>
          <w:rFonts w:hint="eastAsia" w:ascii="黑体" w:hAnsi="ˎ̥" w:eastAsia="黑体" w:cs="黑体"/>
          <w:sz w:val="32"/>
          <w:szCs w:val="32"/>
          <w:shd w:val="clear" w:color="auto" w:fill="FFFFFF"/>
        </w:rPr>
      </w:pPr>
      <w:bookmarkStart w:id="71" w:name="_Toc16686_WPSOffice_Level1"/>
      <w:bookmarkStart w:id="72" w:name="_Toc29683_WPSOffice_Level1"/>
      <w:bookmarkStart w:id="73" w:name="_Toc31264_WPSOffice_Level1"/>
      <w:bookmarkStart w:id="74" w:name="_Toc28629_WPSOffice_Level1"/>
      <w:bookmarkStart w:id="75" w:name="_Toc4402_WPSOffice_Level1"/>
      <w:bookmarkStart w:id="76" w:name="_Toc27590_WPSOffice_Level1"/>
      <w:r>
        <w:rPr>
          <w:rFonts w:hint="eastAsia" w:ascii="黑体" w:hAnsi="ˎ̥" w:eastAsia="黑体" w:cs="黑体"/>
          <w:sz w:val="32"/>
          <w:szCs w:val="32"/>
          <w:shd w:val="clear" w:color="auto" w:fill="FFFFFF"/>
        </w:rPr>
        <w:t>第三部分  2022年度部门决算情况说明</w:t>
      </w:r>
      <w:bookmarkEnd w:id="71"/>
      <w:bookmarkEnd w:id="72"/>
      <w:bookmarkEnd w:id="73"/>
      <w:bookmarkEnd w:id="74"/>
      <w:bookmarkEnd w:id="75"/>
      <w:bookmarkEnd w:id="76"/>
    </w:p>
    <w:p>
      <w:pPr>
        <w:spacing w:afterAutospacing="1"/>
        <w:jc w:val="center"/>
        <w:rPr>
          <w:rFonts w:hint="eastAsia" w:ascii="黑体" w:hAnsi="ˎ̥" w:eastAsia="黑体" w:cs="黑体"/>
          <w:sz w:val="32"/>
          <w:szCs w:val="32"/>
          <w:shd w:val="clear" w:color="auto" w:fill="FFFFFF"/>
        </w:rPr>
      </w:pPr>
    </w:p>
    <w:p>
      <w:pPr>
        <w:numPr>
          <w:ilvl w:val="0"/>
          <w:numId w:val="4"/>
        </w:numPr>
        <w:spacing w:afterAutospacing="1"/>
        <w:ind w:left="319" w:leftChars="133" w:firstLine="320" w:firstLineChars="100"/>
        <w:rPr>
          <w:rFonts w:hint="eastAsia" w:ascii="黑体" w:hAnsi="宋体" w:eastAsia="黑体" w:cs="黑体"/>
          <w:bCs/>
          <w:sz w:val="32"/>
          <w:szCs w:val="32"/>
          <w:shd w:val="clear" w:color="auto" w:fill="FFFFFF"/>
        </w:rPr>
      </w:pPr>
      <w:r>
        <w:rPr>
          <w:rFonts w:hint="eastAsia" w:ascii="黑体" w:hAnsi="宋体" w:eastAsia="黑体" w:cs="黑体"/>
          <w:bCs/>
          <w:sz w:val="32"/>
          <w:szCs w:val="32"/>
          <w:shd w:val="clear" w:color="auto" w:fill="FFFFFF"/>
        </w:rPr>
        <w:t>收入支出总体情况说明</w:t>
      </w:r>
    </w:p>
    <w:p>
      <w:pPr>
        <w:numPr>
          <w:numId w:val="0"/>
        </w:numPr>
        <w:spacing w:afterAutospacing="1"/>
        <w:ind w:leftChars="233" w:firstLine="640" w:firstLineChars="200"/>
        <w:rPr>
          <w:rFonts w:hint="eastAsia" w:ascii="仿宋_GB2312" w:hAnsi="ˎ̥" w:eastAsia="仿宋_GB2312" w:cs="仿宋_GB2312"/>
          <w:sz w:val="32"/>
          <w:szCs w:val="32"/>
          <w:shd w:val="clear" w:color="auto" w:fill="FFFFFF"/>
        </w:rPr>
      </w:pPr>
      <w:r>
        <w:rPr>
          <w:rFonts w:hint="eastAsia" w:ascii="仿宋_GB2312" w:hAnsi="ˎ̥" w:eastAsia="仿宋_GB2312" w:cs="仿宋_GB2312"/>
          <w:sz w:val="32"/>
          <w:szCs w:val="32"/>
          <w:shd w:val="clear" w:color="auto" w:fill="FFFFFF"/>
        </w:rPr>
        <w:t>2022年度收入总计540.28万元，支出总计540.28万元，与2021年度相比，收入、支出总计各减少26.36万元，增长5.13%。主要原因：</w:t>
      </w:r>
      <w:r>
        <w:rPr>
          <w:rFonts w:ascii="仿宋_GB2312" w:hAnsi="ˎ̥" w:eastAsia="仿宋_GB2312" w:cs="仿宋_GB2312"/>
          <w:sz w:val="32"/>
          <w:szCs w:val="32"/>
          <w:shd w:val="clear" w:color="auto" w:fill="FFFFFF"/>
        </w:rPr>
        <w:t>一是</w:t>
      </w:r>
      <w:r>
        <w:rPr>
          <w:rFonts w:hint="eastAsia" w:ascii="仿宋_GB2312" w:hAnsi="ˎ̥" w:eastAsia="仿宋_GB2312" w:cs="仿宋_GB2312"/>
          <w:sz w:val="32"/>
          <w:szCs w:val="32"/>
          <w:shd w:val="clear" w:color="auto" w:fill="FFFFFF"/>
        </w:rPr>
        <w:t>因育儿与教师增加，人员类支出有所增加，我单位主要靠一般公共预算财政拨款收入为主，故本年收入增加：二是因补发部分人员绩效工资，本年支出增加。使用非财政拨款结余0.1万元，较2021年度决算数减少0.06万元，主要原因是事业收入资金支出。年初结转结余38.38万元，主要是</w:t>
      </w:r>
      <w:r>
        <w:rPr>
          <w:rFonts w:ascii="仿宋_GB2312" w:hAnsi="ˎ̥" w:eastAsia="仿宋_GB2312" w:cs="仿宋_GB2312"/>
          <w:sz w:val="32"/>
          <w:szCs w:val="32"/>
          <w:shd w:val="clear" w:color="auto" w:fill="FFFFFF"/>
        </w:rPr>
        <w:t>学前教育</w:t>
      </w:r>
      <w:r>
        <w:rPr>
          <w:rFonts w:hint="eastAsia" w:ascii="仿宋_GB2312" w:hAnsi="ˎ̥" w:eastAsia="仿宋_GB2312" w:cs="仿宋_GB2312"/>
          <w:sz w:val="32"/>
          <w:szCs w:val="32"/>
          <w:shd w:val="clear" w:color="auto" w:fill="FFFFFF"/>
        </w:rPr>
        <w:t>经费、社保经费和公积金经费，较2021年度决算数减少8万元，下降17.25%，主要原因是幼儿园业务支出，导致结转减少。结余分配0.09万元，较2021年度决算数增加0.09万元，增长100%，主要原因是本年度利息收入。年末结转结余0万元，主要是</w:t>
      </w:r>
      <w:r>
        <w:rPr>
          <w:rFonts w:ascii="仿宋_GB2312" w:hAnsi="ˎ̥" w:eastAsia="仿宋_GB2312" w:cs="仿宋_GB2312"/>
          <w:sz w:val="32"/>
          <w:szCs w:val="32"/>
          <w:shd w:val="clear" w:color="auto" w:fill="FFFFFF"/>
        </w:rPr>
        <w:t>学前教育</w:t>
      </w:r>
      <w:r>
        <w:rPr>
          <w:rFonts w:hint="eastAsia" w:ascii="仿宋_GB2312" w:hAnsi="ˎ̥" w:eastAsia="仿宋_GB2312" w:cs="仿宋_GB2312"/>
          <w:sz w:val="32"/>
          <w:szCs w:val="32"/>
          <w:shd w:val="clear" w:color="auto" w:fill="FFFFFF"/>
        </w:rPr>
        <w:t>经费和住房公积金经费，较2021年度决算数减少38.54万元，下降100%，主要原因是上年度余额为38.54万，属于事业收入，今年幼儿园业务运营已支出，所以年末结转结余减少。</w:t>
      </w:r>
    </w:p>
    <w:p>
      <w:pPr>
        <w:spacing w:afterAutospacing="1"/>
        <w:rPr>
          <w:rFonts w:hint="eastAsia" w:ascii="仿宋_GB2312" w:hAnsi="ˎ̥" w:eastAsia="仿宋_GB2312" w:cs="仿宋_GB2312"/>
          <w:sz w:val="32"/>
          <w:szCs w:val="32"/>
          <w:shd w:val="clear" w:color="auto" w:fill="FFFFFF"/>
        </w:rPr>
      </w:pPr>
      <w:r>
        <w:rPr>
          <w:rFonts w:hint="eastAsia" w:ascii="仿宋_GB2312" w:hAnsi="ˎ̥" w:eastAsia="仿宋_GB2312" w:cs="仿宋_GB2312"/>
          <w:sz w:val="32"/>
          <w:szCs w:val="32"/>
          <w:shd w:val="clear" w:color="auto" w:fill="FFFFFF"/>
        </w:rPr>
        <w:t>（注：2022年度相关决算数据可取自附件财决公开01表；2021年度相关决算数据可取自2021年度部门决算报表财决01表《收入支出决算总表》）</w:t>
      </w:r>
    </w:p>
    <w:p>
      <w:pPr>
        <w:numPr>
          <w:ilvl w:val="0"/>
          <w:numId w:val="4"/>
        </w:numPr>
        <w:spacing w:afterAutospacing="1"/>
        <w:ind w:left="319" w:leftChars="133" w:firstLine="320" w:firstLineChars="100"/>
        <w:rPr>
          <w:rFonts w:hint="eastAsia" w:ascii="仿宋_GB2312" w:hAnsi="ˎ̥" w:eastAsia="仿宋_GB2312" w:cs="仿宋_GB2312"/>
          <w:sz w:val="32"/>
          <w:szCs w:val="32"/>
          <w:shd w:val="clear" w:color="auto" w:fill="FFFFFF"/>
        </w:rPr>
      </w:pPr>
      <w:r>
        <w:rPr>
          <w:rFonts w:hint="eastAsia" w:ascii="黑体" w:hAnsi="宋体" w:eastAsia="黑体" w:cs="黑体"/>
          <w:bCs/>
          <w:sz w:val="32"/>
          <w:szCs w:val="32"/>
          <w:shd w:val="clear" w:color="auto" w:fill="FFFFFF"/>
        </w:rPr>
        <w:t>收入决算情况说明</w:t>
      </w:r>
    </w:p>
    <w:p>
      <w:pPr>
        <w:numPr>
          <w:numId w:val="0"/>
        </w:numPr>
        <w:spacing w:afterAutospacing="1"/>
        <w:ind w:leftChars="233" w:firstLine="640" w:firstLineChars="200"/>
        <w:rPr>
          <w:rFonts w:hint="eastAsia" w:ascii="仿宋_GB2312" w:hAnsi="ˎ̥" w:eastAsia="仿宋_GB2312" w:cs="仿宋_GB2312"/>
          <w:sz w:val="32"/>
          <w:szCs w:val="32"/>
          <w:shd w:val="clear" w:color="auto" w:fill="FFFFFF"/>
        </w:rPr>
      </w:pPr>
      <w:r>
        <w:rPr>
          <w:rFonts w:hint="eastAsia" w:ascii="仿宋_GB2312" w:hAnsi="ˎ̥" w:eastAsia="仿宋_GB2312" w:cs="仿宋_GB2312"/>
          <w:sz w:val="32"/>
          <w:szCs w:val="32"/>
          <w:shd w:val="clear" w:color="auto" w:fill="FFFFFF"/>
        </w:rPr>
        <w:t>本年收入合计501.80万元，其中：财政拨款收入501.70万元，占99.9</w:t>
      </w:r>
      <w:r>
        <w:rPr>
          <w:rFonts w:hint="eastAsia" w:ascii="仿宋_GB2312" w:hAnsi="ˎ̥" w:eastAsia="仿宋_GB2312" w:cs="仿宋_GB2312"/>
          <w:sz w:val="32"/>
          <w:szCs w:val="32"/>
          <w:shd w:val="clear" w:color="auto" w:fill="FFFFFF"/>
          <w:lang w:val="en-US" w:eastAsia="zh-CN"/>
        </w:rPr>
        <w:t>9</w:t>
      </w:r>
      <w:r>
        <w:rPr>
          <w:rFonts w:hint="eastAsia" w:ascii="仿宋_GB2312" w:hAnsi="ˎ̥" w:eastAsia="仿宋_GB2312" w:cs="仿宋_GB2312"/>
          <w:sz w:val="32"/>
          <w:szCs w:val="32"/>
          <w:shd w:val="clear" w:color="auto" w:fill="FFFFFF"/>
        </w:rPr>
        <w:t>%；其他收入0.</w:t>
      </w:r>
      <w:r>
        <w:rPr>
          <w:rFonts w:hint="eastAsia" w:ascii="仿宋_GB2312" w:hAnsi="ˎ̥" w:eastAsia="仿宋_GB2312" w:cs="仿宋_GB2312"/>
          <w:sz w:val="32"/>
          <w:szCs w:val="32"/>
          <w:shd w:val="clear" w:color="auto" w:fill="FFFFFF"/>
          <w:lang w:val="en-US" w:eastAsia="zh-CN"/>
        </w:rPr>
        <w:t>0</w:t>
      </w:r>
      <w:r>
        <w:rPr>
          <w:rFonts w:hint="eastAsia" w:ascii="仿宋_GB2312" w:hAnsi="ˎ̥" w:eastAsia="仿宋_GB2312" w:cs="仿宋_GB2312"/>
          <w:sz w:val="32"/>
          <w:szCs w:val="32"/>
          <w:shd w:val="clear" w:color="auto" w:fill="FFFFFF"/>
        </w:rPr>
        <w:t>9万元，占0.0</w:t>
      </w:r>
      <w:r>
        <w:rPr>
          <w:rFonts w:hint="eastAsia" w:ascii="仿宋_GB2312" w:hAnsi="ˎ̥" w:eastAsia="仿宋_GB2312" w:cs="仿宋_GB2312"/>
          <w:sz w:val="32"/>
          <w:szCs w:val="32"/>
          <w:shd w:val="clear" w:color="auto" w:fill="FFFFFF"/>
          <w:lang w:val="en-US" w:eastAsia="zh-CN"/>
        </w:rPr>
        <w:t>1</w:t>
      </w:r>
      <w:r>
        <w:rPr>
          <w:rFonts w:hint="eastAsia" w:ascii="仿宋_GB2312" w:hAnsi="ˎ̥" w:eastAsia="仿宋_GB2312" w:cs="仿宋_GB2312"/>
          <w:sz w:val="32"/>
          <w:szCs w:val="32"/>
          <w:shd w:val="clear" w:color="auto" w:fill="FFFFFF"/>
        </w:rPr>
        <w:t>%。</w:t>
      </w:r>
    </w:p>
    <w:p>
      <w:pPr>
        <w:spacing w:afterAutospacing="1"/>
        <w:ind w:left="470" w:leftChars="196"/>
        <w:rPr>
          <w:rFonts w:hint="eastAsia" w:ascii="仿宋_GB2312" w:hAnsi="ˎ̥" w:eastAsia="仿宋_GB2312" w:cs="仿宋_GB2312"/>
          <w:sz w:val="32"/>
          <w:szCs w:val="32"/>
          <w:shd w:val="clear" w:color="auto" w:fill="FFFFFF"/>
        </w:rPr>
      </w:pPr>
      <w:r>
        <w:rPr>
          <w:rFonts w:hint="eastAsia" w:ascii="仿宋_GB2312" w:hAnsi="ˎ̥" w:eastAsia="仿宋_GB2312" w:cs="仿宋_GB2312"/>
          <w:sz w:val="32"/>
          <w:szCs w:val="32"/>
          <w:shd w:val="clear" w:color="auto" w:fill="FFFFFF"/>
        </w:rPr>
        <w:t>（注：上述各项收入数字可取自财决公开02表）</w:t>
      </w:r>
    </w:p>
    <w:p>
      <w:pPr>
        <w:spacing w:afterAutospacing="1"/>
        <w:ind w:firstLine="627" w:firstLineChars="196"/>
        <w:rPr>
          <w:rFonts w:ascii="黑体" w:hAnsi="宋体" w:eastAsia="黑体" w:cs="黑体"/>
          <w:bCs/>
          <w:sz w:val="32"/>
          <w:szCs w:val="32"/>
          <w:shd w:val="clear" w:color="auto" w:fill="FFFFFF"/>
        </w:rPr>
      </w:pPr>
      <w:r>
        <w:rPr>
          <w:rFonts w:hint="eastAsia" w:ascii="黑体" w:hAnsi="宋体" w:eastAsia="黑体" w:cs="黑体"/>
          <w:bCs/>
          <w:sz w:val="32"/>
          <w:szCs w:val="32"/>
          <w:shd w:val="clear" w:color="auto" w:fill="FFFFFF"/>
        </w:rPr>
        <w:t>三、支出决算情况说明</w:t>
      </w:r>
    </w:p>
    <w:p>
      <w:pPr>
        <w:spacing w:afterAutospacing="1"/>
        <w:ind w:firstLine="640" w:firstLineChars="200"/>
        <w:rPr>
          <w:rFonts w:hint="eastAsia" w:ascii="仿宋_GB2312" w:hAnsi="ˎ̥" w:eastAsia="仿宋_GB2312" w:cs="仿宋_GB2312"/>
          <w:sz w:val="32"/>
          <w:szCs w:val="32"/>
          <w:shd w:val="clear" w:color="auto" w:fill="FFFFFF"/>
        </w:rPr>
      </w:pPr>
      <w:r>
        <w:rPr>
          <w:rFonts w:hint="eastAsia" w:ascii="仿宋_GB2312" w:hAnsi="ˎ̥" w:eastAsia="仿宋_GB2312" w:cs="仿宋_GB2312"/>
          <w:sz w:val="32"/>
          <w:szCs w:val="32"/>
          <w:shd w:val="clear" w:color="auto" w:fill="FFFFFF"/>
        </w:rPr>
        <w:t>本年支出合计540.19万元，其中：基本支出305.12万元，占56.48%；项目支出235.07万元，占43.52%。</w:t>
      </w:r>
    </w:p>
    <w:p>
      <w:pPr>
        <w:spacing w:afterAutospacing="1"/>
        <w:ind w:firstLine="640" w:firstLineChars="200"/>
        <w:rPr>
          <w:rFonts w:hint="eastAsia" w:ascii="仿宋_GB2312" w:hAnsi="ˎ̥" w:eastAsia="仿宋_GB2312" w:cs="仿宋_GB2312"/>
          <w:sz w:val="32"/>
          <w:szCs w:val="32"/>
          <w:shd w:val="clear" w:color="auto" w:fill="FFFFFF"/>
        </w:rPr>
      </w:pPr>
      <w:r>
        <w:rPr>
          <w:rFonts w:hint="eastAsia" w:ascii="仿宋_GB2312" w:hAnsi="ˎ̥" w:eastAsia="仿宋_GB2312" w:cs="仿宋_GB2312"/>
          <w:sz w:val="32"/>
          <w:szCs w:val="32"/>
          <w:shd w:val="clear" w:color="auto" w:fill="FFFFFF"/>
        </w:rPr>
        <w:t>（注：上述各项支出数字可取自财决公开03表）</w:t>
      </w:r>
    </w:p>
    <w:p>
      <w:pPr>
        <w:spacing w:afterAutospacing="1"/>
        <w:ind w:firstLine="627" w:firstLineChars="196"/>
        <w:rPr>
          <w:rFonts w:ascii="黑体" w:hAnsi="宋体" w:eastAsia="黑体" w:cs="黑体"/>
          <w:bCs/>
          <w:sz w:val="32"/>
          <w:szCs w:val="32"/>
          <w:shd w:val="clear" w:color="auto" w:fill="FFFFFF"/>
        </w:rPr>
      </w:pPr>
      <w:r>
        <w:rPr>
          <w:rFonts w:hint="eastAsia" w:ascii="黑体" w:hAnsi="宋体" w:eastAsia="黑体" w:cs="黑体"/>
          <w:bCs/>
          <w:sz w:val="32"/>
          <w:szCs w:val="32"/>
          <w:shd w:val="clear" w:color="auto" w:fill="FFFFFF"/>
        </w:rPr>
        <w:t>四、财政拨款收入支出决算总体情况说明</w:t>
      </w:r>
    </w:p>
    <w:p>
      <w:pPr>
        <w:spacing w:afterAutospacing="1"/>
        <w:ind w:firstLine="640" w:firstLineChars="200"/>
        <w:rPr>
          <w:rFonts w:hint="eastAsia" w:ascii="仿宋_GB2312" w:hAnsi="ˎ̥" w:eastAsia="仿宋_GB2312" w:cs="仿宋_GB2312"/>
          <w:sz w:val="32"/>
          <w:szCs w:val="32"/>
          <w:shd w:val="clear" w:color="auto" w:fill="FFFFFF"/>
        </w:rPr>
      </w:pPr>
      <w:r>
        <w:rPr>
          <w:rFonts w:hint="eastAsia" w:ascii="仿宋_GB2312" w:hAnsi="ˎ̥" w:eastAsia="仿宋_GB2312" w:cs="仿宋_GB2312"/>
          <w:sz w:val="32"/>
          <w:szCs w:val="32"/>
          <w:shd w:val="clear" w:color="auto" w:fill="FFFFFF"/>
        </w:rPr>
        <w:t>2022年度财政拨款收入501.70万元，支出501.70万元。与2021年度相比，财政拨款收入、支出各增加145.33万元，增长40.78%。主要原因：</w:t>
      </w:r>
      <w:r>
        <w:rPr>
          <w:rFonts w:ascii="仿宋_GB2312" w:hAnsi="ˎ̥" w:eastAsia="仿宋_GB2312" w:cs="仿宋_GB2312"/>
          <w:sz w:val="32"/>
          <w:szCs w:val="32"/>
          <w:shd w:val="clear" w:color="auto" w:fill="FFFFFF"/>
        </w:rPr>
        <w:t>一是</w:t>
      </w:r>
      <w:r>
        <w:rPr>
          <w:rFonts w:hint="eastAsia" w:ascii="仿宋_GB2312" w:hAnsi="ˎ̥" w:eastAsia="仿宋_GB2312" w:cs="仿宋_GB2312"/>
          <w:sz w:val="32"/>
          <w:szCs w:val="32"/>
          <w:shd w:val="clear" w:color="auto" w:fill="FFFFFF"/>
        </w:rPr>
        <w:t>人员与育儿增加，开支较上年增长</w:t>
      </w:r>
      <w:r>
        <w:rPr>
          <w:rFonts w:ascii="仿宋_GB2312" w:hAnsi="ˎ̥" w:eastAsia="仿宋_GB2312" w:cs="仿宋_GB2312"/>
          <w:sz w:val="32"/>
          <w:szCs w:val="32"/>
          <w:shd w:val="clear" w:color="auto" w:fill="FFFFFF"/>
        </w:rPr>
        <w:t>；二是</w:t>
      </w:r>
      <w:r>
        <w:rPr>
          <w:rFonts w:hint="eastAsia" w:ascii="仿宋_GB2312" w:hAnsi="ˎ̥" w:eastAsia="仿宋_GB2312" w:cs="仿宋_GB2312"/>
          <w:sz w:val="32"/>
          <w:szCs w:val="32"/>
          <w:shd w:val="clear" w:color="auto" w:fill="FFFFFF"/>
        </w:rPr>
        <w:t>补发部分人员绩效工资，所以对应的财政拨款增加。</w:t>
      </w:r>
    </w:p>
    <w:p>
      <w:pPr>
        <w:spacing w:afterAutospacing="1"/>
        <w:ind w:firstLine="640" w:firstLineChars="200"/>
        <w:rPr>
          <w:rFonts w:hint="eastAsia" w:ascii="仿宋_GB2312" w:hAnsi="ˎ̥" w:eastAsia="仿宋_GB2312" w:cs="仿宋_GB2312"/>
          <w:sz w:val="32"/>
          <w:szCs w:val="32"/>
          <w:shd w:val="clear" w:color="auto" w:fill="FFFFFF"/>
        </w:rPr>
      </w:pPr>
      <w:r>
        <w:rPr>
          <w:rFonts w:hint="eastAsia" w:ascii="仿宋_GB2312" w:hAnsi="ˎ̥" w:eastAsia="仿宋_GB2312" w:cs="仿宋_GB2312"/>
          <w:sz w:val="32"/>
          <w:szCs w:val="32"/>
          <w:shd w:val="clear" w:color="auto" w:fill="FFFFFF"/>
        </w:rPr>
        <w:t>财政拨款年初结转结余0余万元，较2021年度决算数减少1.05万元，下降100%，主要原因是上年度余额1.05万元属于人员经费，已全部上缴财政。</w:t>
      </w:r>
    </w:p>
    <w:p>
      <w:pPr>
        <w:spacing w:afterAutospacing="1"/>
        <w:ind w:firstLine="640" w:firstLineChars="200"/>
        <w:rPr>
          <w:rFonts w:hint="eastAsia" w:ascii="仿宋_GB2312" w:hAnsi="ˎ̥" w:eastAsia="仿宋_GB2312" w:cs="仿宋_GB2312"/>
          <w:sz w:val="32"/>
          <w:szCs w:val="32"/>
          <w:shd w:val="clear" w:color="auto" w:fill="FFFFFF"/>
        </w:rPr>
      </w:pPr>
      <w:r>
        <w:rPr>
          <w:rFonts w:hint="eastAsia" w:ascii="仿宋_GB2312" w:hAnsi="ˎ̥" w:eastAsia="仿宋_GB2312" w:cs="仿宋_GB2312"/>
          <w:sz w:val="32"/>
          <w:szCs w:val="32"/>
          <w:shd w:val="clear" w:color="auto" w:fill="FFFFFF"/>
        </w:rPr>
        <w:t>财政拨款年末结转结余0万元，较2021年度年末决算数减少0.15万元，下降100%，主要原因是0.15万元属于人员经费，已上缴财政。</w:t>
      </w:r>
    </w:p>
    <w:p>
      <w:pPr>
        <w:spacing w:afterAutospacing="1"/>
        <w:ind w:firstLine="640" w:firstLineChars="200"/>
        <w:rPr>
          <w:rFonts w:hint="eastAsia" w:ascii="仿宋_GB2312" w:hAnsi="ˎ̥" w:eastAsia="仿宋_GB2312" w:cs="仿宋_GB2312"/>
          <w:sz w:val="32"/>
          <w:szCs w:val="32"/>
          <w:shd w:val="clear" w:color="auto" w:fill="FFFFFF"/>
        </w:rPr>
      </w:pPr>
      <w:r>
        <w:rPr>
          <w:rFonts w:hint="eastAsia" w:ascii="仿宋_GB2312" w:hAnsi="ˎ̥" w:eastAsia="仿宋_GB2312" w:cs="仿宋_GB2312"/>
          <w:sz w:val="32"/>
          <w:szCs w:val="32"/>
          <w:shd w:val="clear" w:color="auto" w:fill="FFFFFF"/>
        </w:rPr>
        <w:t>（注：2022年度决算相关数据可取自财决公开04表。2021年度决算相关数据可取自2021年度部门决算报表财决01-1表《财政拨款收入支出决算总表》）</w:t>
      </w:r>
    </w:p>
    <w:p>
      <w:pPr>
        <w:spacing w:afterAutospacing="1"/>
        <w:ind w:firstLine="627" w:firstLineChars="196"/>
        <w:rPr>
          <w:rFonts w:ascii="黑体" w:hAnsi="宋体" w:eastAsia="黑体" w:cs="黑体"/>
          <w:bCs/>
          <w:sz w:val="32"/>
          <w:szCs w:val="32"/>
          <w:shd w:val="clear" w:color="auto" w:fill="FFFFFF"/>
        </w:rPr>
      </w:pPr>
      <w:r>
        <w:rPr>
          <w:rFonts w:hint="eastAsia" w:ascii="黑体" w:hAnsi="宋体" w:eastAsia="黑体" w:cs="黑体"/>
          <w:bCs/>
          <w:sz w:val="32"/>
          <w:szCs w:val="32"/>
          <w:shd w:val="clear" w:color="auto" w:fill="FFFFFF"/>
        </w:rPr>
        <w:t>五、一般公共预算财政拨款支出决算情况说明</w:t>
      </w:r>
    </w:p>
    <w:p>
      <w:pPr>
        <w:spacing w:afterAutospacing="1"/>
        <w:ind w:firstLine="640" w:firstLineChars="200"/>
        <w:rPr>
          <w:rFonts w:ascii="楷体" w:hAnsi="楷体" w:eastAsia="楷体" w:cs="楷体"/>
          <w:sz w:val="32"/>
          <w:szCs w:val="32"/>
          <w:shd w:val="clear" w:color="auto" w:fill="FFFFFF"/>
        </w:rPr>
      </w:pPr>
      <w:bookmarkStart w:id="77" w:name="_Toc13694_WPSOffice_Level2"/>
      <w:bookmarkStart w:id="78" w:name="_Toc17398_WPSOffice_Level2"/>
      <w:bookmarkStart w:id="79" w:name="_Toc19665_WPSOffice_Level2"/>
      <w:bookmarkStart w:id="80" w:name="_Toc21737_WPSOffice_Level2"/>
      <w:bookmarkStart w:id="81" w:name="_Toc9989_WPSOffice_Level2"/>
      <w:bookmarkStart w:id="82" w:name="_Toc23005_WPSOffice_Level2"/>
      <w:r>
        <w:rPr>
          <w:rFonts w:hint="eastAsia" w:ascii="楷体" w:hAnsi="楷体" w:eastAsia="楷体" w:cs="楷体"/>
          <w:sz w:val="32"/>
          <w:szCs w:val="32"/>
          <w:shd w:val="clear" w:color="auto" w:fill="FFFFFF"/>
        </w:rPr>
        <w:t>（一）一般公共预算财政拨款支出决算总体情况</w:t>
      </w:r>
      <w:bookmarkEnd w:id="77"/>
      <w:bookmarkEnd w:id="78"/>
      <w:r>
        <w:rPr>
          <w:rFonts w:hint="eastAsia" w:ascii="楷体" w:hAnsi="楷体" w:eastAsia="楷体" w:cs="楷体"/>
          <w:sz w:val="32"/>
          <w:szCs w:val="32"/>
          <w:shd w:val="clear" w:color="auto" w:fill="FFFFFF"/>
        </w:rPr>
        <w:t>。</w:t>
      </w:r>
      <w:bookmarkEnd w:id="79"/>
      <w:bookmarkEnd w:id="80"/>
      <w:bookmarkEnd w:id="81"/>
      <w:bookmarkEnd w:id="82"/>
    </w:p>
    <w:p>
      <w:pPr>
        <w:spacing w:afterAutospacing="1"/>
        <w:ind w:firstLine="640" w:firstLineChars="200"/>
        <w:rPr>
          <w:rFonts w:hint="eastAsia" w:ascii="仿宋_GB2312" w:hAnsi="ˎ̥" w:eastAsia="仿宋_GB2312" w:cs="仿宋_GB2312"/>
          <w:sz w:val="32"/>
          <w:szCs w:val="32"/>
          <w:shd w:val="clear" w:color="auto" w:fill="FFFFFF"/>
        </w:rPr>
      </w:pPr>
      <w:r>
        <w:rPr>
          <w:rFonts w:hint="eastAsia" w:ascii="仿宋_GB2312" w:hAnsi="ˎ̥" w:eastAsia="仿宋_GB2312" w:cs="仿宋_GB2312"/>
          <w:sz w:val="32"/>
          <w:szCs w:val="32"/>
          <w:shd w:val="clear" w:color="auto" w:fill="FFFFFF"/>
        </w:rPr>
        <w:t>2022年度一般公共预算财政拨款501.70支出万元，占本年支出合计的92.86%。与2021年度相比，一般公共预算财政拨款支出增加145.48万元，增长40.84%，主要原因是</w:t>
      </w:r>
      <w:r>
        <w:rPr>
          <w:rFonts w:ascii="仿宋_GB2312" w:hAnsi="ˎ̥" w:eastAsia="仿宋_GB2312" w:cs="仿宋_GB2312"/>
          <w:sz w:val="32"/>
          <w:szCs w:val="32"/>
          <w:shd w:val="clear" w:color="auto" w:fill="FFFFFF"/>
        </w:rPr>
        <w:t>一是</w:t>
      </w:r>
      <w:r>
        <w:rPr>
          <w:rFonts w:hint="eastAsia" w:ascii="仿宋_GB2312" w:hAnsi="ˎ̥" w:eastAsia="仿宋_GB2312" w:cs="仿宋_GB2312"/>
          <w:sz w:val="32"/>
          <w:szCs w:val="32"/>
          <w:shd w:val="clear" w:color="auto" w:fill="FFFFFF"/>
        </w:rPr>
        <w:t>人员增加，开支较上年增长</w:t>
      </w:r>
      <w:r>
        <w:rPr>
          <w:rFonts w:ascii="仿宋_GB2312" w:hAnsi="ˎ̥" w:eastAsia="仿宋_GB2312" w:cs="仿宋_GB2312"/>
          <w:sz w:val="32"/>
          <w:szCs w:val="32"/>
          <w:shd w:val="clear" w:color="auto" w:fill="FFFFFF"/>
        </w:rPr>
        <w:t>；二是</w:t>
      </w:r>
      <w:r>
        <w:rPr>
          <w:rFonts w:hint="eastAsia" w:ascii="仿宋_GB2312" w:hAnsi="ˎ̥" w:eastAsia="仿宋_GB2312" w:cs="仿宋_GB2312"/>
          <w:sz w:val="32"/>
          <w:szCs w:val="32"/>
          <w:shd w:val="clear" w:color="auto" w:fill="FFFFFF"/>
        </w:rPr>
        <w:t>人员工资由财政全额保障，所以对应的财政拨款增加。</w:t>
      </w:r>
    </w:p>
    <w:p>
      <w:pPr>
        <w:spacing w:afterAutospacing="1"/>
        <w:ind w:firstLine="640" w:firstLineChars="200"/>
        <w:rPr>
          <w:rFonts w:ascii="楷体" w:hAnsi="楷体" w:eastAsia="楷体" w:cs="楷体"/>
          <w:sz w:val="32"/>
          <w:szCs w:val="32"/>
          <w:shd w:val="clear" w:color="auto" w:fill="FFFFFF"/>
        </w:rPr>
      </w:pPr>
      <w:bookmarkStart w:id="83" w:name="_Toc2711_WPSOffice_Level2"/>
      <w:bookmarkStart w:id="84" w:name="_Toc18793_WPSOffice_Level2"/>
      <w:bookmarkStart w:id="85" w:name="_Toc19075_WPSOffice_Level2"/>
      <w:bookmarkStart w:id="86" w:name="_Toc27767_WPSOffice_Level2"/>
      <w:bookmarkStart w:id="87" w:name="_Toc19535_WPSOffice_Level2"/>
      <w:bookmarkStart w:id="88" w:name="_Toc23864_WPSOffice_Level2"/>
      <w:r>
        <w:rPr>
          <w:rFonts w:hint="eastAsia" w:ascii="楷体" w:hAnsi="楷体" w:eastAsia="楷体" w:cs="楷体"/>
          <w:sz w:val="32"/>
          <w:szCs w:val="32"/>
          <w:shd w:val="clear" w:color="auto" w:fill="FFFFFF"/>
        </w:rPr>
        <w:t>（二）一般公共预算财政拨款支出决算结构情况</w:t>
      </w:r>
      <w:bookmarkEnd w:id="83"/>
      <w:bookmarkEnd w:id="84"/>
      <w:r>
        <w:rPr>
          <w:rFonts w:hint="eastAsia" w:ascii="楷体" w:hAnsi="楷体" w:eastAsia="楷体" w:cs="楷体"/>
          <w:sz w:val="32"/>
          <w:szCs w:val="32"/>
          <w:shd w:val="clear" w:color="auto" w:fill="FFFFFF"/>
        </w:rPr>
        <w:t>。</w:t>
      </w:r>
      <w:bookmarkEnd w:id="85"/>
      <w:bookmarkEnd w:id="86"/>
      <w:bookmarkEnd w:id="87"/>
      <w:bookmarkEnd w:id="88"/>
    </w:p>
    <w:p>
      <w:pPr>
        <w:spacing w:afterAutospacing="1"/>
        <w:ind w:firstLine="640" w:firstLineChars="200"/>
        <w:rPr>
          <w:rFonts w:hint="eastAsia" w:ascii="仿宋_GB2312" w:hAnsi="ˎ̥" w:eastAsia="仿宋_GB2312" w:cs="仿宋_GB2312"/>
          <w:sz w:val="32"/>
          <w:szCs w:val="32"/>
          <w:shd w:val="clear" w:color="auto" w:fill="FFFFFF"/>
        </w:rPr>
      </w:pPr>
      <w:r>
        <w:rPr>
          <w:rFonts w:ascii="仿宋_GB2312" w:hAnsi="ˎ̥" w:eastAsia="仿宋_GB2312" w:cs="仿宋_GB2312"/>
          <w:sz w:val="32"/>
          <w:szCs w:val="32"/>
          <w:shd w:val="clear" w:color="auto" w:fill="FFFFFF"/>
        </w:rPr>
        <w:t>202</w:t>
      </w:r>
      <w:r>
        <w:rPr>
          <w:rFonts w:hint="eastAsia" w:ascii="仿宋_GB2312" w:hAnsi="ˎ̥" w:eastAsia="仿宋_GB2312" w:cs="仿宋_GB2312"/>
          <w:sz w:val="32"/>
          <w:szCs w:val="32"/>
          <w:shd w:val="clear" w:color="auto" w:fill="FFFFFF"/>
        </w:rPr>
        <w:t>2</w:t>
      </w:r>
      <w:r>
        <w:rPr>
          <w:rFonts w:ascii="仿宋_GB2312" w:hAnsi="ˎ̥" w:eastAsia="仿宋_GB2312" w:cs="仿宋_GB2312"/>
          <w:sz w:val="32"/>
          <w:szCs w:val="32"/>
          <w:shd w:val="clear" w:color="auto" w:fill="FFFFFF"/>
        </w:rPr>
        <w:t>年度一般公共预算财政拨款支出</w:t>
      </w:r>
      <w:r>
        <w:rPr>
          <w:rFonts w:hint="eastAsia" w:ascii="仿宋_GB2312" w:hAnsi="ˎ̥" w:eastAsia="仿宋_GB2312" w:cs="仿宋_GB2312"/>
          <w:sz w:val="32"/>
          <w:szCs w:val="32"/>
          <w:shd w:val="clear" w:color="auto" w:fill="FFFFFF"/>
        </w:rPr>
        <w:t>501.70</w:t>
      </w:r>
      <w:r>
        <w:rPr>
          <w:rFonts w:ascii="仿宋_GB2312" w:hAnsi="ˎ̥" w:eastAsia="仿宋_GB2312" w:cs="仿宋_GB2312"/>
          <w:sz w:val="32"/>
          <w:szCs w:val="32"/>
          <w:shd w:val="clear" w:color="auto" w:fill="FFFFFF"/>
        </w:rPr>
        <w:t>万元，主要用于以下方面：教育支出（类）支出</w:t>
      </w:r>
      <w:r>
        <w:rPr>
          <w:rFonts w:hint="eastAsia" w:ascii="仿宋_GB2312" w:hAnsi="ˎ̥" w:eastAsia="仿宋_GB2312" w:cs="仿宋_GB2312"/>
          <w:sz w:val="32"/>
          <w:szCs w:val="32"/>
          <w:shd w:val="clear" w:color="auto" w:fill="FFFFFF"/>
        </w:rPr>
        <w:t>418.67</w:t>
      </w:r>
      <w:r>
        <w:rPr>
          <w:rFonts w:ascii="仿宋_GB2312" w:hAnsi="ˎ̥" w:eastAsia="仿宋_GB2312" w:cs="仿宋_GB2312"/>
          <w:sz w:val="32"/>
          <w:szCs w:val="32"/>
          <w:shd w:val="clear" w:color="auto" w:fill="FFFFFF"/>
        </w:rPr>
        <w:t>万元，占</w:t>
      </w:r>
      <w:r>
        <w:rPr>
          <w:rFonts w:hint="eastAsia" w:ascii="仿宋_GB2312" w:hAnsi="ˎ̥" w:eastAsia="仿宋_GB2312" w:cs="仿宋_GB2312"/>
          <w:sz w:val="32"/>
          <w:szCs w:val="32"/>
          <w:shd w:val="clear" w:color="auto" w:fill="FFFFFF"/>
        </w:rPr>
        <w:t>83.45</w:t>
      </w:r>
      <w:r>
        <w:rPr>
          <w:rFonts w:ascii="仿宋_GB2312" w:hAnsi="ˎ̥" w:eastAsia="仿宋_GB2312" w:cs="仿宋_GB2312"/>
          <w:sz w:val="32"/>
          <w:szCs w:val="32"/>
          <w:shd w:val="clear" w:color="auto" w:fill="FFFFFF"/>
        </w:rPr>
        <w:t>%；社会保障和就业支出（类）支出</w:t>
      </w:r>
      <w:r>
        <w:rPr>
          <w:rFonts w:hint="eastAsia" w:ascii="仿宋_GB2312" w:hAnsi="ˎ̥" w:eastAsia="仿宋_GB2312" w:cs="仿宋_GB2312"/>
          <w:sz w:val="32"/>
          <w:szCs w:val="32"/>
          <w:shd w:val="clear" w:color="auto" w:fill="FFFFFF"/>
        </w:rPr>
        <w:t>32.74</w:t>
      </w:r>
      <w:r>
        <w:rPr>
          <w:rFonts w:ascii="仿宋_GB2312" w:hAnsi="ˎ̥" w:eastAsia="仿宋_GB2312" w:cs="仿宋_GB2312"/>
          <w:sz w:val="32"/>
          <w:szCs w:val="32"/>
          <w:shd w:val="clear" w:color="auto" w:fill="FFFFFF"/>
        </w:rPr>
        <w:t>万元，占</w:t>
      </w:r>
      <w:r>
        <w:rPr>
          <w:rFonts w:hint="eastAsia" w:ascii="仿宋_GB2312" w:hAnsi="ˎ̥" w:eastAsia="仿宋_GB2312" w:cs="仿宋_GB2312"/>
          <w:sz w:val="32"/>
          <w:szCs w:val="32"/>
          <w:shd w:val="clear" w:color="auto" w:fill="FFFFFF"/>
        </w:rPr>
        <w:t>6.53</w:t>
      </w:r>
      <w:r>
        <w:rPr>
          <w:rFonts w:ascii="仿宋_GB2312" w:hAnsi="ˎ̥" w:eastAsia="仿宋_GB2312" w:cs="仿宋_GB2312"/>
          <w:sz w:val="32"/>
          <w:szCs w:val="32"/>
          <w:shd w:val="clear" w:color="auto" w:fill="FFFFFF"/>
        </w:rPr>
        <w:t>%；卫生健康支出（类）支出</w:t>
      </w:r>
      <w:r>
        <w:rPr>
          <w:rFonts w:hint="eastAsia" w:ascii="仿宋_GB2312" w:hAnsi="ˎ̥" w:eastAsia="仿宋_GB2312" w:cs="仿宋_GB2312"/>
          <w:sz w:val="32"/>
          <w:szCs w:val="32"/>
          <w:shd w:val="clear" w:color="auto" w:fill="FFFFFF"/>
        </w:rPr>
        <w:t>27.13</w:t>
      </w:r>
      <w:r>
        <w:rPr>
          <w:rFonts w:ascii="仿宋_GB2312" w:hAnsi="ˎ̥" w:eastAsia="仿宋_GB2312" w:cs="仿宋_GB2312"/>
          <w:sz w:val="32"/>
          <w:szCs w:val="32"/>
          <w:shd w:val="clear" w:color="auto" w:fill="FFFFFF"/>
        </w:rPr>
        <w:t>万元</w:t>
      </w:r>
      <w:r>
        <w:rPr>
          <w:rFonts w:hint="eastAsia" w:ascii="仿宋_GB2312" w:hAnsi="ˎ̥" w:eastAsia="仿宋_GB2312" w:cs="仿宋_GB2312"/>
          <w:sz w:val="32"/>
          <w:szCs w:val="32"/>
          <w:shd w:val="clear" w:color="auto" w:fill="FFFFFF"/>
        </w:rPr>
        <w:t>，</w:t>
      </w:r>
      <w:r>
        <w:rPr>
          <w:rFonts w:ascii="仿宋_GB2312" w:hAnsi="ˎ̥" w:eastAsia="仿宋_GB2312" w:cs="仿宋_GB2312"/>
          <w:sz w:val="32"/>
          <w:szCs w:val="32"/>
          <w:shd w:val="clear" w:color="auto" w:fill="FFFFFF"/>
        </w:rPr>
        <w:t>占</w:t>
      </w:r>
      <w:r>
        <w:rPr>
          <w:rFonts w:hint="eastAsia" w:ascii="仿宋_GB2312" w:hAnsi="ˎ̥" w:eastAsia="仿宋_GB2312" w:cs="仿宋_GB2312"/>
          <w:sz w:val="32"/>
          <w:szCs w:val="32"/>
          <w:shd w:val="clear" w:color="auto" w:fill="FFFFFF"/>
        </w:rPr>
        <w:t>5.41</w:t>
      </w:r>
      <w:r>
        <w:rPr>
          <w:rFonts w:ascii="仿宋_GB2312" w:hAnsi="ˎ̥" w:eastAsia="仿宋_GB2312" w:cs="仿宋_GB2312"/>
          <w:sz w:val="32"/>
          <w:szCs w:val="32"/>
          <w:shd w:val="clear" w:color="auto" w:fill="FFFFFF"/>
        </w:rPr>
        <w:t>%；住房保障支出（类）支出支出</w:t>
      </w:r>
      <w:r>
        <w:rPr>
          <w:rFonts w:hint="eastAsia" w:ascii="仿宋_GB2312" w:hAnsi="ˎ̥" w:eastAsia="仿宋_GB2312" w:cs="仿宋_GB2312"/>
          <w:sz w:val="32"/>
          <w:szCs w:val="32"/>
          <w:shd w:val="clear" w:color="auto" w:fill="FFFFFF"/>
        </w:rPr>
        <w:t>23.17</w:t>
      </w:r>
      <w:r>
        <w:rPr>
          <w:rFonts w:ascii="仿宋_GB2312" w:hAnsi="ˎ̥" w:eastAsia="仿宋_GB2312" w:cs="仿宋_GB2312"/>
          <w:sz w:val="32"/>
          <w:szCs w:val="32"/>
          <w:shd w:val="clear" w:color="auto" w:fill="FFFFFF"/>
        </w:rPr>
        <w:t>万元，占</w:t>
      </w:r>
      <w:r>
        <w:rPr>
          <w:rFonts w:hint="eastAsia" w:ascii="仿宋_GB2312" w:hAnsi="ˎ̥" w:eastAsia="仿宋_GB2312" w:cs="仿宋_GB2312"/>
          <w:sz w:val="32"/>
          <w:szCs w:val="32"/>
          <w:shd w:val="clear" w:color="auto" w:fill="FFFFFF"/>
        </w:rPr>
        <w:t>4.61</w:t>
      </w:r>
      <w:r>
        <w:rPr>
          <w:rFonts w:ascii="仿宋_GB2312" w:hAnsi="ˎ̥" w:eastAsia="仿宋_GB2312" w:cs="仿宋_GB2312"/>
          <w:sz w:val="32"/>
          <w:szCs w:val="32"/>
          <w:shd w:val="clear" w:color="auto" w:fill="FFFFFF"/>
        </w:rPr>
        <w:t>%</w:t>
      </w:r>
      <w:r>
        <w:rPr>
          <w:rFonts w:hint="eastAsia" w:ascii="仿宋_GB2312" w:hAnsi="ˎ̥" w:eastAsia="仿宋_GB2312" w:cs="仿宋_GB2312"/>
          <w:sz w:val="32"/>
          <w:szCs w:val="32"/>
          <w:shd w:val="clear" w:color="auto" w:fill="FFFFFF"/>
        </w:rPr>
        <w:t>。</w:t>
      </w:r>
    </w:p>
    <w:p>
      <w:pPr>
        <w:spacing w:afterAutospacing="1"/>
        <w:ind w:firstLine="640" w:firstLineChars="200"/>
        <w:rPr>
          <w:rFonts w:hint="eastAsia" w:ascii="仿宋_GB2312" w:hAnsi="ˎ̥" w:eastAsia="仿宋_GB2312" w:cs="仿宋_GB2312"/>
          <w:sz w:val="32"/>
          <w:szCs w:val="32"/>
          <w:shd w:val="clear" w:color="auto" w:fill="FFFFFF"/>
        </w:rPr>
      </w:pPr>
      <w:r>
        <w:rPr>
          <w:rFonts w:hint="eastAsia" w:ascii="仿宋_GB2312" w:hAnsi="ˎ̥" w:eastAsia="仿宋_GB2312" w:cs="仿宋_GB2312"/>
          <w:sz w:val="32"/>
          <w:szCs w:val="32"/>
          <w:shd w:val="clear" w:color="auto" w:fill="FFFFFF"/>
        </w:rPr>
        <w:t>（注：根据各部门（单位）实际支出涉及的支出功能分类类级科目填列）</w:t>
      </w:r>
    </w:p>
    <w:p>
      <w:pPr>
        <w:spacing w:afterAutospacing="1"/>
        <w:ind w:firstLine="640" w:firstLineChars="200"/>
        <w:rPr>
          <w:rFonts w:ascii="楷体" w:hAnsi="楷体" w:eastAsia="楷体" w:cs="楷体"/>
          <w:sz w:val="32"/>
          <w:szCs w:val="32"/>
          <w:shd w:val="clear" w:color="auto" w:fill="FFFFFF"/>
        </w:rPr>
      </w:pPr>
      <w:bookmarkStart w:id="89" w:name="_Toc25136_WPSOffice_Level2"/>
      <w:bookmarkStart w:id="90" w:name="_Toc22318_WPSOffice_Level2"/>
      <w:bookmarkStart w:id="91" w:name="_Toc9502_WPSOffice_Level2"/>
      <w:bookmarkStart w:id="92" w:name="_Toc21701_WPSOffice_Level2"/>
      <w:bookmarkStart w:id="93" w:name="_Toc15415_WPSOffice_Level2"/>
      <w:bookmarkStart w:id="94" w:name="_Toc29364_WPSOffice_Level2"/>
      <w:r>
        <w:rPr>
          <w:rFonts w:hint="eastAsia" w:ascii="楷体" w:hAnsi="楷体" w:eastAsia="楷体" w:cs="楷体"/>
          <w:sz w:val="32"/>
          <w:szCs w:val="32"/>
          <w:shd w:val="clear" w:color="auto" w:fill="FFFFFF"/>
        </w:rPr>
        <w:t>（三）一般公共预算财政拨款支出决算具体情况。</w:t>
      </w:r>
      <w:bookmarkEnd w:id="89"/>
      <w:bookmarkEnd w:id="90"/>
      <w:bookmarkEnd w:id="91"/>
      <w:bookmarkEnd w:id="92"/>
      <w:bookmarkEnd w:id="93"/>
      <w:bookmarkEnd w:id="94"/>
    </w:p>
    <w:p>
      <w:pPr>
        <w:spacing w:afterAutospacing="1"/>
        <w:ind w:firstLine="640" w:firstLineChars="200"/>
        <w:rPr>
          <w:rFonts w:hint="eastAsia" w:ascii="仿宋_GB2312" w:hAnsi="ˎ̥" w:eastAsia="仿宋_GB2312" w:cs="仿宋_GB2312"/>
          <w:sz w:val="32"/>
          <w:szCs w:val="32"/>
          <w:shd w:val="clear" w:color="auto" w:fill="FFFFFF"/>
        </w:rPr>
      </w:pPr>
      <w:r>
        <w:rPr>
          <w:rFonts w:hint="eastAsia" w:ascii="仿宋_GB2312" w:hAnsi="ˎ̥" w:eastAsia="仿宋_GB2312" w:cs="仿宋_GB2312"/>
          <w:sz w:val="32"/>
          <w:szCs w:val="32"/>
          <w:shd w:val="clear" w:color="auto" w:fill="FFFFFF"/>
        </w:rPr>
        <w:t>2022年度一般公共预算财政拨款支出年初预算为380.29万元，支出决算为501.70万元，完成年初预算的110%。其中：</w:t>
      </w:r>
    </w:p>
    <w:p>
      <w:pPr>
        <w:autoSpaceDE w:val="0"/>
        <w:adjustRightInd w:val="0"/>
        <w:snapToGrid w:val="0"/>
        <w:spacing w:line="600" w:lineRule="exact"/>
        <w:ind w:firstLine="640" w:firstLineChars="200"/>
        <w:rPr>
          <w:rFonts w:hint="eastAsia" w:ascii="仿宋_GB2312" w:hAnsi="ˎ̥" w:eastAsia="仿宋_GB2312" w:cs="仿宋_GB2312"/>
          <w:b/>
          <w:bCs/>
          <w:sz w:val="32"/>
          <w:szCs w:val="32"/>
        </w:rPr>
      </w:pPr>
      <w:r>
        <w:rPr>
          <w:rFonts w:ascii="仿宋_GB2312" w:hAnsi="ˎ̥" w:eastAsia="仿宋_GB2312" w:cs="仿宋_GB2312"/>
          <w:sz w:val="32"/>
          <w:szCs w:val="32"/>
        </w:rPr>
        <w:t>1.</w:t>
      </w:r>
      <w:r>
        <w:rPr>
          <w:rFonts w:ascii="仿宋_GB2312" w:hAnsi="ˎ̥" w:eastAsia="仿宋_GB2312" w:cs="仿宋_GB2312"/>
          <w:b/>
          <w:bCs/>
          <w:sz w:val="32"/>
          <w:szCs w:val="32"/>
        </w:rPr>
        <w:t>教育支出（类）普通教育（款）学前教育（项）</w:t>
      </w:r>
    </w:p>
    <w:p>
      <w:pPr>
        <w:autoSpaceDE w:val="0"/>
        <w:adjustRightInd w:val="0"/>
        <w:snapToGrid w:val="0"/>
        <w:spacing w:line="600" w:lineRule="exact"/>
        <w:ind w:firstLine="640" w:firstLineChars="200"/>
        <w:rPr>
          <w:rFonts w:hint="eastAsia" w:ascii="仿宋_GB2312" w:hAnsi="ˎ̥" w:eastAsia="仿宋_GB2312" w:cs="仿宋_GB2312"/>
          <w:sz w:val="32"/>
          <w:szCs w:val="32"/>
        </w:rPr>
      </w:pPr>
      <w:r>
        <w:rPr>
          <w:rFonts w:ascii="仿宋_GB2312" w:hAnsi="ˎ̥" w:eastAsia="仿宋_GB2312" w:cs="仿宋_GB2312"/>
          <w:sz w:val="32"/>
          <w:szCs w:val="32"/>
        </w:rPr>
        <w:t>年初预算为</w:t>
      </w:r>
      <w:r>
        <w:rPr>
          <w:rFonts w:hint="eastAsia" w:ascii="仿宋_GB2312" w:hAnsi="ˎ̥" w:eastAsia="仿宋_GB2312" w:cs="仿宋_GB2312"/>
          <w:sz w:val="32"/>
          <w:szCs w:val="32"/>
        </w:rPr>
        <w:t>295.07</w:t>
      </w:r>
      <w:r>
        <w:rPr>
          <w:rFonts w:ascii="仿宋_GB2312" w:hAnsi="ˎ̥" w:eastAsia="仿宋_GB2312" w:cs="仿宋_GB2312"/>
          <w:sz w:val="32"/>
          <w:szCs w:val="32"/>
        </w:rPr>
        <w:t>万元，支出决算为</w:t>
      </w:r>
      <w:r>
        <w:rPr>
          <w:rFonts w:hint="eastAsia" w:ascii="仿宋_GB2312" w:hAnsi="ˎ̥" w:eastAsia="仿宋_GB2312" w:cs="仿宋_GB2312"/>
          <w:sz w:val="32"/>
          <w:szCs w:val="32"/>
        </w:rPr>
        <w:t>418.67</w:t>
      </w:r>
      <w:r>
        <w:rPr>
          <w:rFonts w:ascii="仿宋_GB2312" w:hAnsi="ˎ̥" w:eastAsia="仿宋_GB2312" w:cs="仿宋_GB2312"/>
          <w:sz w:val="32"/>
          <w:szCs w:val="32"/>
        </w:rPr>
        <w:t>万元，完成年初预算的</w:t>
      </w:r>
      <w:r>
        <w:rPr>
          <w:rFonts w:hint="eastAsia" w:ascii="仿宋_GB2312" w:hAnsi="ˎ̥" w:eastAsia="仿宋_GB2312" w:cs="仿宋_GB2312"/>
          <w:sz w:val="32"/>
          <w:szCs w:val="32"/>
        </w:rPr>
        <w:t>141.89</w:t>
      </w:r>
      <w:r>
        <w:rPr>
          <w:rFonts w:ascii="仿宋_GB2312" w:hAnsi="ˎ̥" w:eastAsia="仿宋_GB2312" w:cs="仿宋_GB2312"/>
          <w:sz w:val="32"/>
          <w:szCs w:val="32"/>
        </w:rPr>
        <w:t>%。决算数大于预算数的主要原因：一是年中追加特岗教师绩效及公积金；二是追加了事业单位绩效考核奖励</w:t>
      </w:r>
      <w:r>
        <w:rPr>
          <w:rFonts w:hint="eastAsia" w:ascii="仿宋_GB2312" w:hAnsi="ˎ̥" w:eastAsia="仿宋_GB2312" w:cs="仿宋_GB2312"/>
          <w:sz w:val="32"/>
          <w:szCs w:val="32"/>
        </w:rPr>
        <w:t>.</w:t>
      </w:r>
    </w:p>
    <w:p>
      <w:pPr>
        <w:pStyle w:val="16"/>
        <w:numPr>
          <w:numId w:val="0"/>
        </w:numPr>
        <w:autoSpaceDE w:val="0"/>
        <w:adjustRightInd w:val="0"/>
        <w:snapToGrid w:val="0"/>
        <w:spacing w:line="600" w:lineRule="exact"/>
        <w:ind w:left="480" w:leftChars="0"/>
        <w:rPr>
          <w:rFonts w:hint="eastAsia" w:ascii="仿宋_GB2312" w:hAnsi="ˎ̥" w:eastAsia="仿宋_GB2312" w:cs="仿宋_GB2312"/>
          <w:b/>
          <w:bCs/>
          <w:sz w:val="32"/>
          <w:szCs w:val="32"/>
        </w:rPr>
      </w:pPr>
      <w:r>
        <w:rPr>
          <w:rFonts w:hint="eastAsia" w:ascii="仿宋_GB2312" w:hAnsi="ˎ̥" w:eastAsia="仿宋_GB2312" w:cs="仿宋_GB2312"/>
          <w:b/>
          <w:bCs/>
          <w:sz w:val="32"/>
          <w:szCs w:val="32"/>
          <w:lang w:val="en-US" w:eastAsia="zh-CN"/>
        </w:rPr>
        <w:t>2.</w:t>
      </w:r>
      <w:r>
        <w:rPr>
          <w:rFonts w:ascii="仿宋_GB2312" w:hAnsi="ˎ̥" w:eastAsia="仿宋_GB2312" w:cs="仿宋_GB2312"/>
          <w:b/>
          <w:bCs/>
          <w:sz w:val="32"/>
          <w:szCs w:val="32"/>
        </w:rPr>
        <w:t>社会保障和就业支出（类）行政事业单位养老支出（款）机关事业单位基本养老保险缴费支出（项）</w:t>
      </w:r>
    </w:p>
    <w:p>
      <w:pPr>
        <w:pStyle w:val="16"/>
        <w:numPr>
          <w:numId w:val="0"/>
        </w:numPr>
        <w:autoSpaceDE w:val="0"/>
        <w:adjustRightInd w:val="0"/>
        <w:snapToGrid w:val="0"/>
        <w:spacing w:line="600" w:lineRule="exact"/>
        <w:ind w:left="480" w:leftChars="0" w:firstLine="640" w:firstLineChars="200"/>
        <w:rPr>
          <w:rFonts w:hint="eastAsia" w:ascii="仿宋_GB2312" w:hAnsi="ˎ̥" w:eastAsia="仿宋_GB2312" w:cs="仿宋_GB2312"/>
          <w:b/>
          <w:bCs/>
          <w:sz w:val="32"/>
          <w:szCs w:val="32"/>
        </w:rPr>
      </w:pPr>
      <w:r>
        <w:rPr>
          <w:rFonts w:ascii="仿宋_GB2312" w:hAnsi="ˎ̥" w:eastAsia="仿宋_GB2312" w:cs="仿宋_GB2312"/>
          <w:sz w:val="32"/>
          <w:szCs w:val="32"/>
        </w:rPr>
        <w:t>年初预算为万</w:t>
      </w:r>
      <w:r>
        <w:rPr>
          <w:rFonts w:hint="eastAsia" w:ascii="仿宋_GB2312" w:hAnsi="ˎ̥" w:eastAsia="仿宋_GB2312" w:cs="仿宋_GB2312"/>
          <w:sz w:val="32"/>
          <w:szCs w:val="32"/>
        </w:rPr>
        <w:t>31.11</w:t>
      </w:r>
      <w:r>
        <w:rPr>
          <w:rFonts w:ascii="仿宋_GB2312" w:hAnsi="ˎ̥" w:eastAsia="仿宋_GB2312" w:cs="仿宋_GB2312"/>
          <w:sz w:val="32"/>
          <w:szCs w:val="32"/>
        </w:rPr>
        <w:t>元，支出决算为</w:t>
      </w:r>
      <w:r>
        <w:rPr>
          <w:rFonts w:hint="eastAsia" w:ascii="仿宋_GB2312" w:hAnsi="ˎ̥" w:eastAsia="仿宋_GB2312" w:cs="仿宋_GB2312"/>
          <w:sz w:val="32"/>
          <w:szCs w:val="32"/>
        </w:rPr>
        <w:t>32.74</w:t>
      </w:r>
      <w:r>
        <w:rPr>
          <w:rFonts w:ascii="仿宋_GB2312" w:hAnsi="ˎ̥" w:eastAsia="仿宋_GB2312" w:cs="仿宋_GB2312"/>
          <w:sz w:val="32"/>
          <w:szCs w:val="32"/>
        </w:rPr>
        <w:t>万元，完成年初预算的</w:t>
      </w:r>
      <w:r>
        <w:rPr>
          <w:rFonts w:hint="eastAsia" w:ascii="仿宋_GB2312" w:hAnsi="ˎ̥" w:eastAsia="仿宋_GB2312" w:cs="仿宋_GB2312"/>
          <w:sz w:val="32"/>
          <w:szCs w:val="32"/>
        </w:rPr>
        <w:t>105.24</w:t>
      </w:r>
      <w:r>
        <w:rPr>
          <w:rFonts w:ascii="仿宋_GB2312" w:hAnsi="ˎ̥" w:eastAsia="仿宋_GB2312" w:cs="仿宋_GB2312"/>
          <w:sz w:val="32"/>
          <w:szCs w:val="32"/>
        </w:rPr>
        <w:t>%。决算数</w:t>
      </w:r>
      <w:r>
        <w:rPr>
          <w:rFonts w:hint="eastAsia" w:ascii="仿宋_GB2312" w:hAnsi="ˎ̥" w:eastAsia="仿宋_GB2312" w:cs="仿宋_GB2312"/>
          <w:sz w:val="32"/>
          <w:szCs w:val="32"/>
        </w:rPr>
        <w:t>大于</w:t>
      </w:r>
      <w:r>
        <w:rPr>
          <w:rFonts w:ascii="仿宋_GB2312" w:hAnsi="ˎ̥" w:eastAsia="仿宋_GB2312" w:cs="仿宋_GB2312"/>
          <w:sz w:val="32"/>
          <w:szCs w:val="32"/>
        </w:rPr>
        <w:t>预算数的主要原因：</w:t>
      </w:r>
      <w:r>
        <w:rPr>
          <w:rFonts w:hint="eastAsia" w:ascii="仿宋_GB2312" w:hAnsi="ˎ̥" w:eastAsia="仿宋_GB2312" w:cs="仿宋_GB2312"/>
          <w:sz w:val="32"/>
          <w:szCs w:val="32"/>
          <w:shd w:val="clear" w:color="auto" w:fill="FFFFFF"/>
        </w:rPr>
        <w:t>因人员增加，所以社会保障和就业支出增加。</w:t>
      </w:r>
    </w:p>
    <w:p>
      <w:pPr>
        <w:autoSpaceDE w:val="0"/>
        <w:adjustRightInd w:val="0"/>
        <w:snapToGrid w:val="0"/>
        <w:spacing w:line="600" w:lineRule="exact"/>
        <w:ind w:firstLine="640" w:firstLineChars="200"/>
        <w:rPr>
          <w:rFonts w:hint="eastAsia" w:ascii="仿宋_GB2312" w:hAnsi="ˎ̥" w:eastAsia="仿宋_GB2312" w:cs="仿宋_GB2312"/>
          <w:sz w:val="32"/>
          <w:szCs w:val="32"/>
        </w:rPr>
      </w:pPr>
      <w:r>
        <w:rPr>
          <w:rFonts w:ascii="仿宋_GB2312" w:hAnsi="ˎ̥" w:eastAsia="仿宋_GB2312" w:cs="仿宋_GB2312"/>
          <w:sz w:val="32"/>
          <w:szCs w:val="32"/>
        </w:rPr>
        <w:t>。</w:t>
      </w:r>
    </w:p>
    <w:p>
      <w:pPr>
        <w:autoSpaceDE w:val="0"/>
        <w:adjustRightInd w:val="0"/>
        <w:snapToGrid w:val="0"/>
        <w:spacing w:line="600" w:lineRule="exact"/>
        <w:ind w:firstLine="640" w:firstLineChars="200"/>
        <w:rPr>
          <w:rFonts w:hint="eastAsia" w:ascii="仿宋_GB2312" w:hAnsi="ˎ̥" w:eastAsia="仿宋_GB2312" w:cs="仿宋_GB2312"/>
          <w:b/>
          <w:bCs/>
          <w:sz w:val="32"/>
          <w:szCs w:val="32"/>
        </w:rPr>
      </w:pPr>
      <w:r>
        <w:rPr>
          <w:rFonts w:ascii="仿宋_GB2312" w:hAnsi="ˎ̥" w:eastAsia="仿宋_GB2312" w:cs="仿宋_GB2312"/>
          <w:sz w:val="32"/>
          <w:szCs w:val="32"/>
        </w:rPr>
        <w:t>3.</w:t>
      </w:r>
      <w:r>
        <w:rPr>
          <w:rFonts w:ascii="仿宋_GB2312" w:hAnsi="ˎ̥" w:eastAsia="仿宋_GB2312" w:cs="仿宋_GB2312"/>
          <w:b/>
          <w:bCs/>
          <w:sz w:val="32"/>
          <w:szCs w:val="32"/>
        </w:rPr>
        <w:t>卫生健康支出（类）行政事业单位医疗（款）事业单位医疗项）</w:t>
      </w:r>
    </w:p>
    <w:p>
      <w:pPr>
        <w:autoSpaceDE w:val="0"/>
        <w:adjustRightInd w:val="0"/>
        <w:snapToGrid w:val="0"/>
        <w:spacing w:line="600" w:lineRule="exact"/>
        <w:ind w:firstLine="640" w:firstLineChars="200"/>
        <w:rPr>
          <w:rFonts w:hint="eastAsia" w:ascii="仿宋_GB2312" w:hAnsi="ˎ̥" w:eastAsia="仿宋_GB2312" w:cs="仿宋_GB2312"/>
          <w:sz w:val="32"/>
          <w:szCs w:val="32"/>
        </w:rPr>
      </w:pPr>
      <w:r>
        <w:rPr>
          <w:rFonts w:ascii="仿宋_GB2312" w:hAnsi="ˎ̥" w:eastAsia="仿宋_GB2312" w:cs="仿宋_GB2312"/>
          <w:sz w:val="32"/>
          <w:szCs w:val="32"/>
        </w:rPr>
        <w:t>年初预算为</w:t>
      </w:r>
      <w:r>
        <w:rPr>
          <w:rFonts w:hint="eastAsia" w:ascii="仿宋_GB2312" w:hAnsi="ˎ̥" w:eastAsia="仿宋_GB2312" w:cs="仿宋_GB2312"/>
          <w:sz w:val="32"/>
          <w:szCs w:val="32"/>
        </w:rPr>
        <w:t>12.74</w:t>
      </w:r>
      <w:r>
        <w:rPr>
          <w:rFonts w:ascii="仿宋_GB2312" w:hAnsi="ˎ̥" w:eastAsia="仿宋_GB2312" w:cs="仿宋_GB2312"/>
          <w:sz w:val="32"/>
          <w:szCs w:val="32"/>
        </w:rPr>
        <w:t>万元，支出决算为</w:t>
      </w:r>
      <w:r>
        <w:rPr>
          <w:rFonts w:hint="eastAsia" w:ascii="仿宋_GB2312" w:hAnsi="ˎ̥" w:eastAsia="仿宋_GB2312" w:cs="仿宋_GB2312"/>
          <w:sz w:val="32"/>
          <w:szCs w:val="32"/>
        </w:rPr>
        <w:t>11.83</w:t>
      </w:r>
      <w:r>
        <w:rPr>
          <w:rFonts w:ascii="仿宋_GB2312" w:hAnsi="ˎ̥" w:eastAsia="仿宋_GB2312" w:cs="仿宋_GB2312"/>
          <w:sz w:val="32"/>
          <w:szCs w:val="32"/>
        </w:rPr>
        <w:t>万元，完成年初预算的</w:t>
      </w:r>
      <w:r>
        <w:rPr>
          <w:rFonts w:hint="eastAsia" w:ascii="仿宋_GB2312" w:hAnsi="ˎ̥" w:eastAsia="仿宋_GB2312" w:cs="仿宋_GB2312"/>
          <w:sz w:val="32"/>
          <w:szCs w:val="32"/>
        </w:rPr>
        <w:t>89.32</w:t>
      </w:r>
      <w:r>
        <w:rPr>
          <w:rFonts w:ascii="仿宋_GB2312" w:hAnsi="ˎ̥" w:eastAsia="仿宋_GB2312" w:cs="仿宋_GB2312"/>
          <w:sz w:val="32"/>
          <w:szCs w:val="32"/>
        </w:rPr>
        <w:t>%。决算数小于预算数的主要原因：决算数小于预算数的主要原因：一是</w:t>
      </w:r>
      <w:r>
        <w:rPr>
          <w:rFonts w:hint="eastAsia" w:ascii="仿宋_GB2312" w:hAnsi="ˎ̥" w:eastAsia="仿宋_GB2312" w:cs="仿宋_GB2312"/>
          <w:sz w:val="32"/>
          <w:szCs w:val="32"/>
        </w:rPr>
        <w:t>人员调动时间晚于预期</w:t>
      </w:r>
      <w:r>
        <w:rPr>
          <w:rFonts w:ascii="仿宋_GB2312" w:hAnsi="ˎ̥" w:eastAsia="仿宋_GB2312" w:cs="仿宋_GB2312"/>
          <w:sz w:val="32"/>
          <w:szCs w:val="32"/>
        </w:rPr>
        <w:t>，二是</w:t>
      </w:r>
      <w:r>
        <w:rPr>
          <w:rFonts w:hint="eastAsia" w:ascii="仿宋_GB2312" w:hAnsi="ˎ̥" w:eastAsia="仿宋_GB2312" w:cs="仿宋_GB2312"/>
          <w:sz w:val="32"/>
          <w:szCs w:val="32"/>
        </w:rPr>
        <w:t>年初按照调动人员数和在职人员数预估经费，部分人员调动来单位时间晚于预期，导致支出小于年初预算安排</w:t>
      </w:r>
      <w:r>
        <w:rPr>
          <w:rFonts w:ascii="仿宋_GB2312" w:hAnsi="ˎ̥" w:eastAsia="仿宋_GB2312" w:cs="仿宋_GB2312"/>
          <w:sz w:val="32"/>
          <w:szCs w:val="32"/>
        </w:rPr>
        <w:t>。</w:t>
      </w:r>
    </w:p>
    <w:p>
      <w:pPr>
        <w:autoSpaceDE w:val="0"/>
        <w:adjustRightInd w:val="0"/>
        <w:snapToGrid w:val="0"/>
        <w:spacing w:line="600" w:lineRule="exact"/>
        <w:ind w:firstLine="640" w:firstLineChars="200"/>
        <w:rPr>
          <w:rFonts w:hint="eastAsia" w:ascii="仿宋_GB2312" w:hAnsi="ˎ̥" w:eastAsia="仿宋_GB2312" w:cs="仿宋_GB2312"/>
          <w:b/>
          <w:bCs/>
          <w:sz w:val="32"/>
          <w:szCs w:val="32"/>
        </w:rPr>
      </w:pPr>
      <w:r>
        <w:rPr>
          <w:rFonts w:ascii="仿宋_GB2312" w:hAnsi="ˎ̥" w:eastAsia="仿宋_GB2312" w:cs="仿宋_GB2312"/>
          <w:sz w:val="32"/>
          <w:szCs w:val="32"/>
        </w:rPr>
        <w:t>4.</w:t>
      </w:r>
      <w:r>
        <w:rPr>
          <w:rFonts w:ascii="仿宋_GB2312" w:hAnsi="ˎ̥" w:eastAsia="仿宋_GB2312" w:cs="仿宋_GB2312"/>
          <w:b/>
          <w:bCs/>
          <w:sz w:val="32"/>
          <w:szCs w:val="32"/>
        </w:rPr>
        <w:t>卫生健康支出（类）行政事业单位医疗（款）公务员医疗补助（项）</w:t>
      </w:r>
    </w:p>
    <w:p>
      <w:pPr>
        <w:autoSpaceDE w:val="0"/>
        <w:adjustRightInd w:val="0"/>
        <w:snapToGrid w:val="0"/>
        <w:spacing w:line="600" w:lineRule="exact"/>
        <w:ind w:firstLine="640" w:firstLineChars="200"/>
        <w:rPr>
          <w:rFonts w:hint="eastAsia" w:ascii="仿宋_GB2312" w:hAnsi="ˎ̥" w:eastAsia="仿宋_GB2312" w:cs="仿宋_GB2312"/>
          <w:color w:val="FF0000"/>
          <w:sz w:val="32"/>
          <w:szCs w:val="32"/>
        </w:rPr>
      </w:pPr>
      <w:r>
        <w:rPr>
          <w:rFonts w:ascii="仿宋_GB2312" w:hAnsi="ˎ̥" w:eastAsia="仿宋_GB2312" w:cs="仿宋_GB2312"/>
          <w:sz w:val="32"/>
          <w:szCs w:val="32"/>
        </w:rPr>
        <w:t>年初预算为</w:t>
      </w:r>
      <w:r>
        <w:rPr>
          <w:rFonts w:hint="eastAsia" w:ascii="仿宋_GB2312" w:hAnsi="ˎ̥" w:eastAsia="仿宋_GB2312" w:cs="仿宋_GB2312"/>
          <w:sz w:val="32"/>
          <w:szCs w:val="32"/>
        </w:rPr>
        <w:t>20.74</w:t>
      </w:r>
      <w:r>
        <w:rPr>
          <w:rFonts w:ascii="仿宋_GB2312" w:hAnsi="ˎ̥" w:eastAsia="仿宋_GB2312" w:cs="仿宋_GB2312"/>
          <w:sz w:val="32"/>
          <w:szCs w:val="32"/>
        </w:rPr>
        <w:t>万元，支出决算为</w:t>
      </w:r>
      <w:r>
        <w:rPr>
          <w:rFonts w:hint="eastAsia" w:ascii="仿宋_GB2312" w:hAnsi="ˎ̥" w:eastAsia="仿宋_GB2312" w:cs="仿宋_GB2312"/>
          <w:sz w:val="32"/>
          <w:szCs w:val="32"/>
        </w:rPr>
        <w:t>15.30</w:t>
      </w:r>
      <w:r>
        <w:rPr>
          <w:rFonts w:ascii="仿宋_GB2312" w:hAnsi="ˎ̥" w:eastAsia="仿宋_GB2312" w:cs="仿宋_GB2312"/>
          <w:sz w:val="32"/>
          <w:szCs w:val="32"/>
        </w:rPr>
        <w:t>万元，完成年初预算的</w:t>
      </w:r>
      <w:r>
        <w:rPr>
          <w:rFonts w:hint="eastAsia" w:ascii="仿宋_GB2312" w:hAnsi="ˎ̥" w:eastAsia="仿宋_GB2312" w:cs="仿宋_GB2312"/>
          <w:sz w:val="32"/>
          <w:szCs w:val="32"/>
        </w:rPr>
        <w:t>73.77</w:t>
      </w:r>
      <w:r>
        <w:rPr>
          <w:rFonts w:ascii="仿宋_GB2312" w:hAnsi="ˎ̥" w:eastAsia="仿宋_GB2312" w:cs="仿宋_GB2312"/>
          <w:sz w:val="32"/>
          <w:szCs w:val="32"/>
        </w:rPr>
        <w:t>%。决算数小于预算数的主要原因：决算数小于预算数的主要原因：一是</w:t>
      </w:r>
      <w:r>
        <w:rPr>
          <w:rFonts w:hint="eastAsia" w:ascii="仿宋_GB2312" w:hAnsi="ˎ̥" w:eastAsia="仿宋_GB2312" w:cs="仿宋_GB2312"/>
          <w:sz w:val="32"/>
          <w:szCs w:val="32"/>
        </w:rPr>
        <w:t>人员调动时间晚于预期</w:t>
      </w:r>
      <w:r>
        <w:rPr>
          <w:rFonts w:ascii="仿宋_GB2312" w:hAnsi="ˎ̥" w:eastAsia="仿宋_GB2312" w:cs="仿宋_GB2312"/>
          <w:sz w:val="32"/>
          <w:szCs w:val="32"/>
        </w:rPr>
        <w:t>，二是</w:t>
      </w:r>
      <w:r>
        <w:rPr>
          <w:rFonts w:hint="eastAsia" w:ascii="仿宋_GB2312" w:hAnsi="ˎ̥" w:eastAsia="仿宋_GB2312" w:cs="仿宋_GB2312"/>
          <w:sz w:val="32"/>
          <w:szCs w:val="32"/>
        </w:rPr>
        <w:t>年初按照调动人员数和在职人员数预估经费，部分人员调动来单位时间晚于预期，导致支出小于年初预算安排</w:t>
      </w:r>
      <w:r>
        <w:rPr>
          <w:rFonts w:ascii="仿宋_GB2312" w:hAnsi="ˎ̥" w:eastAsia="仿宋_GB2312" w:cs="仿宋_GB2312"/>
          <w:color w:val="FF0000"/>
          <w:sz w:val="32"/>
          <w:szCs w:val="32"/>
        </w:rPr>
        <w:t>。</w:t>
      </w:r>
    </w:p>
    <w:p>
      <w:pPr>
        <w:autoSpaceDE w:val="0"/>
        <w:adjustRightInd w:val="0"/>
        <w:snapToGrid w:val="0"/>
        <w:spacing w:line="600" w:lineRule="exact"/>
        <w:ind w:firstLine="640" w:firstLineChars="200"/>
        <w:rPr>
          <w:rFonts w:hint="eastAsia" w:ascii="仿宋_GB2312" w:hAnsi="ˎ̥" w:eastAsia="仿宋_GB2312" w:cs="仿宋_GB2312"/>
          <w:b/>
          <w:bCs/>
          <w:sz w:val="32"/>
          <w:szCs w:val="32"/>
        </w:rPr>
      </w:pPr>
      <w:r>
        <w:rPr>
          <w:rFonts w:ascii="仿宋_GB2312" w:hAnsi="ˎ̥" w:eastAsia="仿宋_GB2312" w:cs="仿宋_GB2312"/>
          <w:sz w:val="32"/>
          <w:szCs w:val="32"/>
        </w:rPr>
        <w:t>5.</w:t>
      </w:r>
      <w:r>
        <w:rPr>
          <w:rFonts w:ascii="仿宋_GB2312" w:hAnsi="ˎ̥" w:eastAsia="仿宋_GB2312" w:cs="仿宋_GB2312"/>
          <w:b/>
          <w:bCs/>
          <w:sz w:val="32"/>
          <w:szCs w:val="32"/>
        </w:rPr>
        <w:t>住房保障支出（类）住房改革支出（款）房公积金（项）</w:t>
      </w:r>
    </w:p>
    <w:p>
      <w:pPr>
        <w:autoSpaceDE w:val="0"/>
        <w:adjustRightInd w:val="0"/>
        <w:snapToGrid w:val="0"/>
        <w:spacing w:line="600" w:lineRule="exact"/>
        <w:ind w:firstLine="640" w:firstLineChars="200"/>
        <w:rPr>
          <w:rFonts w:hint="eastAsia" w:ascii="仿宋_GB2312" w:hAnsi="ˎ̥" w:eastAsia="仿宋_GB2312" w:cs="仿宋_GB2312"/>
          <w:sz w:val="32"/>
          <w:szCs w:val="32"/>
        </w:rPr>
      </w:pPr>
      <w:r>
        <w:rPr>
          <w:rFonts w:ascii="仿宋_GB2312" w:hAnsi="ˎ̥" w:eastAsia="仿宋_GB2312" w:cs="仿宋_GB2312"/>
          <w:sz w:val="32"/>
          <w:szCs w:val="32"/>
        </w:rPr>
        <w:t>年初预算为</w:t>
      </w:r>
      <w:r>
        <w:rPr>
          <w:rFonts w:hint="eastAsia" w:ascii="仿宋_GB2312" w:hAnsi="ˎ̥" w:eastAsia="仿宋_GB2312" w:cs="仿宋_GB2312"/>
          <w:sz w:val="32"/>
          <w:szCs w:val="32"/>
        </w:rPr>
        <w:t>18.55</w:t>
      </w:r>
      <w:r>
        <w:rPr>
          <w:rFonts w:ascii="仿宋_GB2312" w:hAnsi="ˎ̥" w:eastAsia="仿宋_GB2312" w:cs="仿宋_GB2312"/>
          <w:sz w:val="32"/>
          <w:szCs w:val="32"/>
        </w:rPr>
        <w:t>万元，支出决算为</w:t>
      </w:r>
      <w:r>
        <w:rPr>
          <w:rFonts w:hint="eastAsia" w:ascii="仿宋_GB2312" w:hAnsi="ˎ̥" w:eastAsia="仿宋_GB2312" w:cs="仿宋_GB2312"/>
          <w:sz w:val="32"/>
          <w:szCs w:val="32"/>
          <w:lang w:val="en-US" w:eastAsia="zh-CN"/>
        </w:rPr>
        <w:t>23.17</w:t>
      </w:r>
      <w:r>
        <w:rPr>
          <w:rFonts w:ascii="仿宋_GB2312" w:hAnsi="ˎ̥" w:eastAsia="仿宋_GB2312" w:cs="仿宋_GB2312"/>
          <w:sz w:val="32"/>
          <w:szCs w:val="32"/>
        </w:rPr>
        <w:t>万元，完成年初预算的</w:t>
      </w:r>
      <w:r>
        <w:rPr>
          <w:rFonts w:hint="eastAsia" w:ascii="仿宋_GB2312" w:hAnsi="ˎ̥" w:eastAsia="仿宋_GB2312" w:cs="仿宋_GB2312"/>
          <w:sz w:val="32"/>
          <w:szCs w:val="32"/>
          <w:lang w:val="en-US" w:eastAsia="zh-CN"/>
        </w:rPr>
        <w:t>124.91</w:t>
      </w:r>
      <w:r>
        <w:rPr>
          <w:rFonts w:ascii="仿宋_GB2312" w:hAnsi="ˎ̥" w:eastAsia="仿宋_GB2312" w:cs="仿宋_GB2312"/>
          <w:sz w:val="32"/>
          <w:szCs w:val="32"/>
        </w:rPr>
        <w:t>%。决算数</w:t>
      </w:r>
      <w:r>
        <w:rPr>
          <w:rFonts w:hint="eastAsia" w:ascii="仿宋_GB2312" w:hAnsi="ˎ̥" w:eastAsia="仿宋_GB2312" w:cs="仿宋_GB2312"/>
          <w:sz w:val="32"/>
          <w:szCs w:val="32"/>
          <w:lang w:eastAsia="zh-CN"/>
        </w:rPr>
        <w:t>大</w:t>
      </w:r>
      <w:r>
        <w:rPr>
          <w:rFonts w:ascii="仿宋_GB2312" w:hAnsi="ˎ̥" w:eastAsia="仿宋_GB2312" w:cs="仿宋_GB2312"/>
          <w:sz w:val="32"/>
          <w:szCs w:val="32"/>
        </w:rPr>
        <w:t>预算数的主要原因：</w:t>
      </w:r>
      <w:r>
        <w:rPr>
          <w:rFonts w:hint="eastAsia" w:ascii="仿宋_GB2312" w:hAnsi="ˎ̥" w:eastAsia="仿宋_GB2312" w:cs="仿宋_GB2312"/>
          <w:sz w:val="32"/>
          <w:szCs w:val="32"/>
          <w:lang w:eastAsia="zh-CN"/>
        </w:rPr>
        <w:t>调整公积金基数，支出增加</w:t>
      </w:r>
      <w:r>
        <w:rPr>
          <w:rFonts w:ascii="仿宋_GB2312" w:hAnsi="ˎ̥" w:eastAsia="仿宋_GB2312" w:cs="仿宋_GB2312"/>
          <w:sz w:val="32"/>
          <w:szCs w:val="32"/>
        </w:rPr>
        <w:t>。</w:t>
      </w:r>
    </w:p>
    <w:p>
      <w:pPr>
        <w:spacing w:afterAutospacing="1"/>
        <w:ind w:firstLine="640" w:firstLineChars="200"/>
        <w:rPr>
          <w:rFonts w:hint="eastAsia" w:ascii="仿宋_GB2312" w:hAnsi="ˎ̥" w:eastAsia="仿宋_GB2312" w:cs="仿宋_GB2312"/>
          <w:sz w:val="32"/>
          <w:szCs w:val="32"/>
          <w:shd w:val="clear" w:color="auto" w:fill="FFFFFF"/>
        </w:rPr>
      </w:pPr>
      <w:r>
        <w:rPr>
          <w:rFonts w:hint="eastAsia" w:ascii="仿宋_GB2312" w:hAnsi="ˎ̥" w:eastAsia="仿宋_GB2312" w:cs="仿宋_GB2312"/>
          <w:sz w:val="32"/>
          <w:szCs w:val="32"/>
          <w:shd w:val="clear" w:color="auto" w:fill="FFFFFF"/>
        </w:rPr>
        <w:t>（注：本部分支出决算数字可取自财决公开05表，年初预算数可取自各部门（单位）年初预算大本，根据各部门（单位）实际支出涉及的支出功能分类项级科目填列）</w:t>
      </w:r>
    </w:p>
    <w:p>
      <w:pPr>
        <w:spacing w:afterAutospacing="1"/>
        <w:ind w:firstLine="627" w:firstLineChars="196"/>
        <w:rPr>
          <w:rFonts w:ascii="黑体" w:hAnsi="宋体" w:eastAsia="黑体" w:cs="黑体"/>
          <w:sz w:val="32"/>
          <w:szCs w:val="32"/>
          <w:shd w:val="clear" w:color="auto" w:fill="FFFFFF"/>
        </w:rPr>
      </w:pPr>
      <w:r>
        <w:rPr>
          <w:rFonts w:hint="eastAsia" w:ascii="黑体" w:hAnsi="宋体" w:eastAsia="黑体" w:cs="黑体"/>
          <w:bCs/>
          <w:sz w:val="32"/>
          <w:szCs w:val="32"/>
          <w:shd w:val="clear" w:color="auto" w:fill="FFFFFF"/>
        </w:rPr>
        <w:t>六、一般公共预算财政拨款基本支出决算情况说明。</w:t>
      </w:r>
    </w:p>
    <w:p>
      <w:pPr>
        <w:tabs>
          <w:tab w:val="center" w:pos="4473"/>
        </w:tabs>
        <w:spacing w:afterAutospacing="1"/>
        <w:ind w:firstLine="640" w:firstLineChars="200"/>
        <w:rPr>
          <w:rFonts w:hint="eastAsia" w:ascii="仿宋_GB2312" w:hAnsi="ˎ̥" w:eastAsia="仿宋_GB2312" w:cs="仿宋_GB2312"/>
          <w:sz w:val="32"/>
          <w:szCs w:val="32"/>
          <w:shd w:val="clear" w:color="auto" w:fill="FFFFFF"/>
        </w:rPr>
      </w:pPr>
      <w:r>
        <w:rPr>
          <w:rFonts w:hint="eastAsia" w:ascii="仿宋_GB2312" w:hAnsi="ˎ̥" w:eastAsia="仿宋_GB2312" w:cs="仿宋_GB2312"/>
          <w:sz w:val="32"/>
          <w:szCs w:val="32"/>
          <w:shd w:val="clear" w:color="auto" w:fill="FFFFFF"/>
        </w:rPr>
        <w:t>2022年度财政拨款基本支出3</w:t>
      </w:r>
      <w:r>
        <w:rPr>
          <w:rFonts w:hint="eastAsia" w:ascii="仿宋_GB2312" w:hAnsi="ˎ̥" w:eastAsia="仿宋_GB2312" w:cs="仿宋_GB2312"/>
          <w:sz w:val="32"/>
          <w:szCs w:val="32"/>
          <w:shd w:val="clear" w:color="auto" w:fill="FFFFFF"/>
          <w:lang w:val="en-US" w:eastAsia="zh-CN"/>
        </w:rPr>
        <w:t>05.01</w:t>
      </w:r>
      <w:bookmarkStart w:id="119" w:name="_GoBack"/>
      <w:bookmarkEnd w:id="119"/>
      <w:r>
        <w:rPr>
          <w:rFonts w:hint="eastAsia" w:ascii="仿宋_GB2312" w:hAnsi="ˎ̥" w:eastAsia="仿宋_GB2312" w:cs="仿宋_GB2312"/>
          <w:sz w:val="32"/>
          <w:szCs w:val="32"/>
          <w:shd w:val="clear" w:color="auto" w:fill="FFFFFF"/>
        </w:rPr>
        <w:t>万元，其中：人员经费</w:t>
      </w:r>
      <w:r>
        <w:rPr>
          <w:rFonts w:hint="eastAsia" w:ascii="仿宋_GB2312" w:hAnsi="ˎ̥" w:eastAsia="仿宋_GB2312" w:cs="仿宋_GB2312"/>
          <w:sz w:val="32"/>
          <w:szCs w:val="32"/>
          <w:shd w:val="clear" w:color="auto" w:fill="FFFFFF"/>
          <w:lang w:val="en-US" w:eastAsia="zh-CN"/>
        </w:rPr>
        <w:t>300.15</w:t>
      </w:r>
      <w:r>
        <w:rPr>
          <w:rFonts w:hint="eastAsia" w:ascii="仿宋_GB2312" w:hAnsi="ˎ̥" w:eastAsia="仿宋_GB2312" w:cs="仿宋_GB2312"/>
          <w:sz w:val="32"/>
          <w:szCs w:val="32"/>
          <w:shd w:val="clear" w:color="auto" w:fill="FFFFFF"/>
        </w:rPr>
        <w:t>万元，主要包括：工资福利支出中的基本工资、津贴补贴、奖金、伙食补助费、绩效工资、机关事业单位基本养老保险缴费、职业年金缴费、职工基本医疗保险缴费、公务员医疗补助缴费、其他社会保障缴费、住房公积金、医疗费、其他工资福利支出；。公用经费</w:t>
      </w:r>
      <w:r>
        <w:rPr>
          <w:rFonts w:hint="eastAsia" w:ascii="仿宋_GB2312" w:hAnsi="ˎ̥" w:eastAsia="仿宋_GB2312" w:cs="仿宋_GB2312"/>
          <w:sz w:val="32"/>
          <w:szCs w:val="32"/>
          <w:shd w:val="clear" w:color="auto" w:fill="FFFFFF"/>
          <w:lang w:val="en-US" w:eastAsia="zh-CN"/>
        </w:rPr>
        <w:t>4.86</w:t>
      </w:r>
      <w:r>
        <w:rPr>
          <w:rFonts w:hint="eastAsia" w:ascii="仿宋_GB2312" w:hAnsi="ˎ̥" w:eastAsia="仿宋_GB2312" w:cs="仿宋_GB2312"/>
          <w:sz w:val="32"/>
          <w:szCs w:val="32"/>
          <w:shd w:val="clear" w:color="auto" w:fill="FFFFFF"/>
        </w:rPr>
        <w:t>万元，主要包括：商品和服务支出中的办公费工会经费。（注：上述数字可取自财决公开06表，各部门（单位）根据实际支出情况，选列相应支出经济分类。）</w:t>
      </w:r>
    </w:p>
    <w:p>
      <w:pPr>
        <w:tabs>
          <w:tab w:val="center" w:pos="4473"/>
        </w:tabs>
        <w:spacing w:afterAutospacing="1"/>
        <w:ind w:firstLine="627" w:firstLineChars="196"/>
        <w:rPr>
          <w:rFonts w:ascii="黑体" w:hAnsi="宋体" w:eastAsia="黑体" w:cs="黑体"/>
          <w:bCs/>
          <w:sz w:val="32"/>
          <w:szCs w:val="32"/>
          <w:shd w:val="clear" w:color="auto" w:fill="FFFFFF"/>
        </w:rPr>
      </w:pPr>
      <w:r>
        <w:rPr>
          <w:rFonts w:hint="eastAsia" w:ascii="黑体" w:hAnsi="宋体" w:eastAsia="黑体" w:cs="黑体"/>
          <w:bCs/>
          <w:sz w:val="32"/>
          <w:szCs w:val="32"/>
          <w:shd w:val="clear" w:color="auto" w:fill="FFFFFF"/>
        </w:rPr>
        <w:t>七、政府性基金预算财政拨款支出决算情况说明</w:t>
      </w:r>
    </w:p>
    <w:p>
      <w:pPr>
        <w:spacing w:after="100" w:afterAutospacing="1"/>
        <w:ind w:firstLine="640" w:firstLineChars="200"/>
        <w:rPr>
          <w:rFonts w:hint="eastAsia" w:ascii="仿宋_GB2312" w:hAnsi="ˎ̥" w:eastAsia="仿宋_GB2312" w:cs="仿宋_GB2312"/>
          <w:sz w:val="32"/>
          <w:szCs w:val="32"/>
          <w:shd w:val="clear" w:color="auto" w:fill="FFFFFF"/>
        </w:rPr>
      </w:pPr>
      <w:r>
        <w:rPr>
          <w:rFonts w:ascii="仿宋_GB2312" w:hAnsi="ˎ̥" w:eastAsia="仿宋_GB2312" w:cs="仿宋_GB2312"/>
          <w:sz w:val="32"/>
          <w:szCs w:val="32"/>
          <w:shd w:val="clear" w:color="auto" w:fill="FFFFFF"/>
        </w:rPr>
        <w:t>（一）政府性基金预算财政拨款支出决算总体情况。</w:t>
      </w:r>
    </w:p>
    <w:p>
      <w:pPr>
        <w:autoSpaceDE w:val="0"/>
        <w:adjustRightInd w:val="0"/>
        <w:snapToGrid w:val="0"/>
        <w:spacing w:line="520" w:lineRule="exact"/>
        <w:ind w:firstLine="640" w:firstLineChars="200"/>
        <w:rPr>
          <w:rFonts w:hint="eastAsia" w:ascii="仿宋_GB2312" w:hAnsi="ˎ̥" w:eastAsia="仿宋_GB2312" w:cs="仿宋_GB2312"/>
          <w:sz w:val="32"/>
          <w:szCs w:val="32"/>
          <w:shd w:val="clear" w:color="auto" w:fill="FFFFFF"/>
        </w:rPr>
      </w:pPr>
      <w:r>
        <w:rPr>
          <w:rFonts w:ascii="仿宋_GB2312" w:hAnsi="ˎ̥" w:eastAsia="仿宋_GB2312" w:cs="仿宋_GB2312"/>
          <w:sz w:val="32"/>
          <w:szCs w:val="32"/>
          <w:shd w:val="clear" w:color="auto" w:fill="FFFFFF"/>
        </w:rPr>
        <w:t>202</w:t>
      </w:r>
      <w:r>
        <w:rPr>
          <w:rFonts w:hint="eastAsia" w:ascii="仿宋_GB2312" w:hAnsi="ˎ̥" w:eastAsia="仿宋_GB2312" w:cs="仿宋_GB2312"/>
          <w:sz w:val="32"/>
          <w:szCs w:val="32"/>
          <w:shd w:val="clear" w:color="auto" w:fill="FFFFFF"/>
        </w:rPr>
        <w:t>2</w:t>
      </w:r>
      <w:r>
        <w:rPr>
          <w:rFonts w:ascii="仿宋_GB2312" w:hAnsi="ˎ̥" w:eastAsia="仿宋_GB2312" w:cs="仿宋_GB2312"/>
          <w:sz w:val="32"/>
          <w:szCs w:val="32"/>
          <w:shd w:val="clear" w:color="auto" w:fill="FFFFFF"/>
        </w:rPr>
        <w:t>年度</w:t>
      </w:r>
      <w:r>
        <w:rPr>
          <w:rFonts w:ascii="仿宋_GB2312" w:hAnsi="ˎ̥" w:eastAsia="仿宋_GB2312" w:cs="仿宋_GB2312"/>
          <w:sz w:val="32"/>
          <w:szCs w:val="32"/>
        </w:rPr>
        <w:t>政府性基金预算财政拨款支出0.00万元，占本年支出合计的0%。与</w:t>
      </w:r>
      <w:r>
        <w:rPr>
          <w:rFonts w:hint="eastAsia" w:ascii="仿宋_GB2312" w:hAnsi="ˎ̥" w:eastAsia="仿宋_GB2312" w:cs="仿宋_GB2312"/>
          <w:sz w:val="32"/>
          <w:szCs w:val="32"/>
        </w:rPr>
        <w:t>2021</w:t>
      </w:r>
      <w:r>
        <w:rPr>
          <w:rFonts w:ascii="仿宋_GB2312" w:hAnsi="ˎ̥" w:eastAsia="仿宋_GB2312" w:cs="仿宋_GB2312"/>
          <w:sz w:val="32"/>
          <w:szCs w:val="32"/>
        </w:rPr>
        <w:t>年度相比，政府性基金预算财政拨款支出无增减变化，主要原因是单位未安排政府性基金收支。</w:t>
      </w:r>
    </w:p>
    <w:p>
      <w:pPr>
        <w:spacing w:after="100" w:afterAutospacing="1"/>
        <w:ind w:firstLine="640" w:firstLineChars="200"/>
        <w:rPr>
          <w:rFonts w:hint="eastAsia" w:ascii="仿宋_GB2312" w:hAnsi="ˎ̥" w:eastAsia="仿宋_GB2312" w:cs="仿宋_GB2312"/>
          <w:sz w:val="32"/>
          <w:szCs w:val="32"/>
          <w:shd w:val="clear" w:color="auto" w:fill="FFFFFF"/>
        </w:rPr>
      </w:pPr>
      <w:r>
        <w:rPr>
          <w:rFonts w:ascii="仿宋_GB2312" w:hAnsi="ˎ̥" w:eastAsia="仿宋_GB2312" w:cs="仿宋_GB2312"/>
          <w:sz w:val="32"/>
          <w:szCs w:val="32"/>
          <w:shd w:val="clear" w:color="auto" w:fill="FFFFFF"/>
        </w:rPr>
        <w:t>（二）政府性基金预算财政拨款支出决算结构情况。</w:t>
      </w:r>
    </w:p>
    <w:p>
      <w:pPr>
        <w:autoSpaceDE w:val="0"/>
        <w:adjustRightInd w:val="0"/>
        <w:snapToGrid w:val="0"/>
        <w:spacing w:line="520" w:lineRule="exact"/>
        <w:ind w:firstLine="640" w:firstLineChars="200"/>
        <w:rPr>
          <w:rFonts w:hint="eastAsia" w:ascii="仿宋_GB2312" w:hAnsi="ˎ̥" w:eastAsia="仿宋_GB2312" w:cs="仿宋_GB2312"/>
          <w:sz w:val="32"/>
          <w:szCs w:val="32"/>
        </w:rPr>
      </w:pPr>
      <w:r>
        <w:rPr>
          <w:rFonts w:ascii="仿宋_GB2312" w:hAnsi="ˎ̥" w:eastAsia="仿宋_GB2312" w:cs="仿宋_GB2312"/>
          <w:sz w:val="32"/>
          <w:szCs w:val="32"/>
          <w:shd w:val="clear" w:color="auto" w:fill="FFFFFF"/>
        </w:rPr>
        <w:t>202</w:t>
      </w:r>
      <w:r>
        <w:rPr>
          <w:rFonts w:hint="eastAsia" w:ascii="仿宋_GB2312" w:hAnsi="ˎ̥" w:eastAsia="仿宋_GB2312" w:cs="仿宋_GB2312"/>
          <w:sz w:val="32"/>
          <w:szCs w:val="32"/>
          <w:shd w:val="clear" w:color="auto" w:fill="FFFFFF"/>
        </w:rPr>
        <w:t>2</w:t>
      </w:r>
      <w:r>
        <w:rPr>
          <w:rFonts w:ascii="仿宋_GB2312" w:hAnsi="ˎ̥" w:eastAsia="仿宋_GB2312" w:cs="仿宋_GB2312"/>
          <w:sz w:val="32"/>
          <w:szCs w:val="32"/>
        </w:rPr>
        <w:t>年度政府性基金预算财政拨款支出0.00万元，主要原因是单位未安排政府性基金收支。</w:t>
      </w:r>
    </w:p>
    <w:p>
      <w:pPr>
        <w:spacing w:after="100" w:afterAutospacing="1"/>
        <w:ind w:firstLine="640" w:firstLineChars="200"/>
        <w:rPr>
          <w:rFonts w:hint="eastAsia" w:ascii="仿宋_GB2312" w:hAnsi="ˎ̥" w:eastAsia="仿宋_GB2312" w:cs="仿宋_GB2312"/>
          <w:sz w:val="32"/>
          <w:szCs w:val="32"/>
          <w:shd w:val="clear" w:color="auto" w:fill="FFFFFF"/>
        </w:rPr>
      </w:pPr>
      <w:r>
        <w:rPr>
          <w:rFonts w:ascii="仿宋_GB2312" w:hAnsi="ˎ̥" w:eastAsia="仿宋_GB2312" w:cs="仿宋_GB2312"/>
          <w:sz w:val="32"/>
          <w:szCs w:val="32"/>
          <w:shd w:val="clear" w:color="auto" w:fill="FFFFFF"/>
        </w:rPr>
        <w:t>（根据各部门（单位）实际支出涉及的支出功能分类类级科目填列）</w:t>
      </w:r>
    </w:p>
    <w:p>
      <w:pPr>
        <w:spacing w:after="100" w:afterAutospacing="1"/>
        <w:ind w:firstLine="640" w:firstLineChars="200"/>
        <w:rPr>
          <w:rFonts w:hint="eastAsia" w:ascii="仿宋_GB2312" w:hAnsi="ˎ̥" w:eastAsia="仿宋_GB2312" w:cs="仿宋_GB2312"/>
          <w:sz w:val="32"/>
          <w:szCs w:val="32"/>
          <w:shd w:val="clear" w:color="auto" w:fill="FFFFFF"/>
        </w:rPr>
      </w:pPr>
      <w:r>
        <w:rPr>
          <w:rFonts w:ascii="仿宋_GB2312" w:hAnsi="ˎ̥" w:eastAsia="仿宋_GB2312" w:cs="仿宋_GB2312"/>
          <w:sz w:val="32"/>
          <w:szCs w:val="32"/>
          <w:shd w:val="clear" w:color="auto" w:fill="FFFFFF"/>
        </w:rPr>
        <w:t>（三）政府性基金预算财政拨款支出决算具体情况。</w:t>
      </w:r>
    </w:p>
    <w:p>
      <w:pPr>
        <w:autoSpaceDE w:val="0"/>
        <w:adjustRightInd w:val="0"/>
        <w:snapToGrid w:val="0"/>
        <w:spacing w:line="520" w:lineRule="exact"/>
        <w:ind w:firstLine="640" w:firstLineChars="200"/>
        <w:rPr>
          <w:rFonts w:hint="eastAsia" w:ascii="仿宋_GB2312" w:hAnsi="ˎ̥" w:eastAsia="仿宋_GB2312" w:cs="仿宋_GB2312"/>
          <w:sz w:val="32"/>
          <w:szCs w:val="32"/>
        </w:rPr>
      </w:pPr>
      <w:r>
        <w:rPr>
          <w:rFonts w:ascii="仿宋_GB2312" w:hAnsi="ˎ̥" w:eastAsia="仿宋_GB2312" w:cs="仿宋_GB2312"/>
          <w:sz w:val="32"/>
          <w:szCs w:val="32"/>
          <w:shd w:val="clear" w:color="auto" w:fill="FFFFFF"/>
        </w:rPr>
        <w:t>202</w:t>
      </w:r>
      <w:r>
        <w:rPr>
          <w:rFonts w:hint="eastAsia" w:ascii="仿宋_GB2312" w:hAnsi="ˎ̥" w:eastAsia="仿宋_GB2312" w:cs="仿宋_GB2312"/>
          <w:sz w:val="32"/>
          <w:szCs w:val="32"/>
          <w:shd w:val="clear" w:color="auto" w:fill="FFFFFF"/>
        </w:rPr>
        <w:t>2</w:t>
      </w:r>
      <w:r>
        <w:rPr>
          <w:rFonts w:ascii="仿宋_GB2312" w:hAnsi="ˎ̥" w:eastAsia="仿宋_GB2312" w:cs="仿宋_GB2312"/>
          <w:sz w:val="32"/>
          <w:szCs w:val="32"/>
        </w:rPr>
        <w:t>年度政府性基金预算财政拨款支出年初预算为0万元，支出决算为0万元，主要原因是单位未安排政府性基金收支。</w:t>
      </w:r>
    </w:p>
    <w:p>
      <w:pPr>
        <w:tabs>
          <w:tab w:val="center" w:pos="4473"/>
        </w:tabs>
        <w:spacing w:afterAutospacing="1"/>
        <w:ind w:firstLine="640" w:firstLineChars="200"/>
        <w:rPr>
          <w:rFonts w:hint="eastAsia" w:ascii="仿宋_GB2312" w:hAnsi="ˎ̥" w:eastAsia="仿宋_GB2312" w:cs="仿宋_GB2312"/>
          <w:sz w:val="32"/>
          <w:szCs w:val="32"/>
          <w:shd w:val="clear" w:color="auto" w:fill="FFFFFF"/>
        </w:rPr>
      </w:pPr>
      <w:r>
        <w:rPr>
          <w:rFonts w:hint="eastAsia" w:ascii="仿宋_GB2312" w:hAnsi="ˎ̥" w:eastAsia="仿宋_GB2312" w:cs="仿宋_GB2312"/>
          <w:sz w:val="32"/>
          <w:szCs w:val="32"/>
          <w:shd w:val="clear" w:color="auto" w:fill="FFFFFF"/>
        </w:rPr>
        <w:t>（注：根据各部门（单位）实际支出涉及的支出功能分类项级科目填列，本部分2022年决算相关数据取自财决公开07表；2021年决算相关数据取自财决09表《政府性基金预算财政拨款收入支出决算表》）</w:t>
      </w:r>
    </w:p>
    <w:p>
      <w:pPr>
        <w:tabs>
          <w:tab w:val="center" w:pos="4473"/>
        </w:tabs>
        <w:spacing w:afterAutospacing="1"/>
        <w:ind w:firstLine="627" w:firstLineChars="196"/>
        <w:rPr>
          <w:rFonts w:ascii="黑体" w:hAnsi="宋体" w:eastAsia="黑体" w:cs="黑体"/>
          <w:bCs/>
          <w:sz w:val="32"/>
          <w:szCs w:val="32"/>
          <w:shd w:val="clear" w:color="auto" w:fill="FFFFFF"/>
        </w:rPr>
      </w:pPr>
      <w:r>
        <w:rPr>
          <w:rFonts w:hint="eastAsia" w:ascii="黑体" w:hAnsi="宋体" w:eastAsia="黑体" w:cs="黑体"/>
          <w:bCs/>
          <w:sz w:val="32"/>
          <w:szCs w:val="32"/>
          <w:shd w:val="clear" w:color="auto" w:fill="FFFFFF"/>
        </w:rPr>
        <w:t>八、国有资本经营预算财政拨款支出决算情况说明</w:t>
      </w:r>
    </w:p>
    <w:p>
      <w:pPr>
        <w:spacing w:after="100" w:afterAutospacing="1"/>
        <w:ind w:firstLine="640" w:firstLineChars="200"/>
        <w:rPr>
          <w:rFonts w:hint="eastAsia" w:ascii="仿宋_GB2312" w:hAnsi="ˎ̥" w:eastAsia="仿宋_GB2312" w:cs="仿宋_GB2312"/>
          <w:sz w:val="32"/>
          <w:szCs w:val="32"/>
          <w:shd w:val="clear" w:color="auto" w:fill="FFFFFF"/>
        </w:rPr>
      </w:pPr>
      <w:r>
        <w:rPr>
          <w:rFonts w:ascii="仿宋_GB2312" w:hAnsi="ˎ̥" w:eastAsia="仿宋_GB2312" w:cs="仿宋_GB2312"/>
          <w:sz w:val="32"/>
          <w:szCs w:val="32"/>
          <w:shd w:val="clear" w:color="auto" w:fill="FFFFFF"/>
        </w:rPr>
        <w:t>（一）国有资本经营预算财政拨款支出决算总体情况。</w:t>
      </w:r>
    </w:p>
    <w:p>
      <w:pPr>
        <w:autoSpaceDE w:val="0"/>
        <w:adjustRightInd w:val="0"/>
        <w:snapToGrid w:val="0"/>
        <w:spacing w:line="520" w:lineRule="exact"/>
        <w:ind w:firstLine="640" w:firstLineChars="200"/>
        <w:rPr>
          <w:rFonts w:hint="eastAsia" w:ascii="仿宋_GB2312" w:hAnsi="ˎ̥" w:eastAsia="仿宋_GB2312" w:cs="仿宋_GB2312"/>
          <w:sz w:val="32"/>
          <w:szCs w:val="32"/>
          <w:shd w:val="clear" w:color="auto" w:fill="FFFFFF"/>
        </w:rPr>
      </w:pPr>
      <w:r>
        <w:rPr>
          <w:rFonts w:ascii="仿宋_GB2312" w:hAnsi="ˎ̥" w:eastAsia="仿宋_GB2312" w:cs="仿宋_GB2312"/>
          <w:sz w:val="32"/>
          <w:szCs w:val="32"/>
          <w:shd w:val="clear" w:color="auto" w:fill="FFFFFF"/>
        </w:rPr>
        <w:t>202</w:t>
      </w:r>
      <w:r>
        <w:rPr>
          <w:rFonts w:hint="eastAsia" w:ascii="仿宋_GB2312" w:hAnsi="ˎ̥" w:eastAsia="仿宋_GB2312" w:cs="仿宋_GB2312"/>
          <w:sz w:val="32"/>
          <w:szCs w:val="32"/>
          <w:shd w:val="clear" w:color="auto" w:fill="FFFFFF"/>
        </w:rPr>
        <w:t>2</w:t>
      </w:r>
      <w:r>
        <w:rPr>
          <w:rFonts w:ascii="仿宋_GB2312" w:hAnsi="ˎ̥" w:eastAsia="仿宋_GB2312" w:cs="仿宋_GB2312"/>
          <w:sz w:val="32"/>
          <w:szCs w:val="32"/>
        </w:rPr>
        <w:t>年度国有资本经营预算财政拨款支出0.00万元，占本年支出合计的0%。与</w:t>
      </w:r>
      <w:r>
        <w:rPr>
          <w:rFonts w:hint="eastAsia" w:ascii="仿宋_GB2312" w:hAnsi="ˎ̥" w:eastAsia="仿宋_GB2312" w:cs="仿宋_GB2312"/>
          <w:sz w:val="32"/>
          <w:szCs w:val="32"/>
        </w:rPr>
        <w:t>2021</w:t>
      </w:r>
      <w:r>
        <w:rPr>
          <w:rFonts w:ascii="仿宋_GB2312" w:hAnsi="ˎ̥" w:eastAsia="仿宋_GB2312" w:cs="仿宋_GB2312"/>
          <w:sz w:val="32"/>
          <w:szCs w:val="32"/>
        </w:rPr>
        <w:t>年度相比，国有资本经营预算财政拨款支出无增减变化</w:t>
      </w:r>
      <w:r>
        <w:rPr>
          <w:rFonts w:ascii="仿宋_GB2312" w:hAnsi="ˎ̥" w:eastAsia="仿宋_GB2312" w:cs="仿宋_GB2312"/>
          <w:sz w:val="32"/>
          <w:szCs w:val="32"/>
          <w:shd w:val="clear" w:color="auto" w:fill="FFFFFF"/>
        </w:rPr>
        <w:t>。</w:t>
      </w:r>
    </w:p>
    <w:p>
      <w:pPr>
        <w:spacing w:after="100" w:afterAutospacing="1"/>
        <w:ind w:firstLine="640" w:firstLineChars="200"/>
        <w:rPr>
          <w:rFonts w:hint="eastAsia" w:ascii="仿宋_GB2312" w:hAnsi="ˎ̥" w:eastAsia="仿宋_GB2312" w:cs="仿宋_GB2312"/>
          <w:sz w:val="32"/>
          <w:szCs w:val="32"/>
          <w:shd w:val="clear" w:color="auto" w:fill="FFFFFF"/>
        </w:rPr>
      </w:pPr>
      <w:r>
        <w:rPr>
          <w:rFonts w:ascii="仿宋_GB2312" w:hAnsi="ˎ̥" w:eastAsia="仿宋_GB2312" w:cs="仿宋_GB2312"/>
          <w:sz w:val="32"/>
          <w:szCs w:val="32"/>
          <w:shd w:val="clear" w:color="auto" w:fill="FFFFFF"/>
        </w:rPr>
        <w:t>（二）国有资本经营预算财政拨款支出决算结构情况。</w:t>
      </w:r>
    </w:p>
    <w:p>
      <w:pPr>
        <w:spacing w:after="100" w:afterAutospacing="1"/>
        <w:ind w:firstLine="640" w:firstLineChars="200"/>
        <w:rPr>
          <w:rFonts w:hint="eastAsia" w:ascii="仿宋_GB2312" w:hAnsi="ˎ̥" w:eastAsia="仿宋_GB2312" w:cs="仿宋_GB2312"/>
          <w:sz w:val="32"/>
          <w:szCs w:val="32"/>
          <w:shd w:val="clear" w:color="auto" w:fill="FFFFFF"/>
        </w:rPr>
      </w:pPr>
      <w:r>
        <w:rPr>
          <w:rFonts w:ascii="仿宋_GB2312" w:hAnsi="ˎ̥" w:eastAsia="仿宋_GB2312" w:cs="仿宋_GB2312"/>
          <w:sz w:val="32"/>
          <w:szCs w:val="32"/>
          <w:shd w:val="clear" w:color="auto" w:fill="FFFFFF"/>
        </w:rPr>
        <w:t>202</w:t>
      </w:r>
      <w:r>
        <w:rPr>
          <w:rFonts w:hint="eastAsia" w:ascii="仿宋_GB2312" w:hAnsi="ˎ̥" w:eastAsia="仿宋_GB2312" w:cs="仿宋_GB2312"/>
          <w:sz w:val="32"/>
          <w:szCs w:val="32"/>
          <w:shd w:val="clear" w:color="auto" w:fill="FFFFFF"/>
        </w:rPr>
        <w:t>2</w:t>
      </w:r>
      <w:r>
        <w:rPr>
          <w:rFonts w:ascii="仿宋_GB2312" w:hAnsi="ˎ̥" w:eastAsia="仿宋_GB2312" w:cs="仿宋_GB2312"/>
          <w:sz w:val="32"/>
          <w:szCs w:val="32"/>
        </w:rPr>
        <w:t>年度国有资本经营预算财政拨款支出0.00万元，主要原因为我县未编报国有资本经营预算</w:t>
      </w:r>
      <w:r>
        <w:rPr>
          <w:rFonts w:ascii="仿宋_GB2312" w:hAnsi="ˎ̥" w:eastAsia="仿宋_GB2312" w:cs="仿宋_GB2312"/>
          <w:sz w:val="32"/>
          <w:szCs w:val="32"/>
          <w:shd w:val="clear" w:color="auto" w:fill="FFFFFF"/>
        </w:rPr>
        <w:t>。</w:t>
      </w:r>
    </w:p>
    <w:p>
      <w:pPr>
        <w:spacing w:after="100" w:afterAutospacing="1"/>
        <w:ind w:firstLine="640" w:firstLineChars="200"/>
        <w:rPr>
          <w:rFonts w:hint="eastAsia" w:ascii="仿宋_GB2312" w:hAnsi="ˎ̥" w:eastAsia="仿宋_GB2312" w:cs="仿宋_GB2312"/>
          <w:sz w:val="32"/>
          <w:szCs w:val="32"/>
          <w:shd w:val="clear" w:color="auto" w:fill="FFFFFF"/>
        </w:rPr>
      </w:pPr>
      <w:r>
        <w:rPr>
          <w:rFonts w:ascii="仿宋_GB2312" w:hAnsi="ˎ̥" w:eastAsia="仿宋_GB2312" w:cs="仿宋_GB2312"/>
          <w:sz w:val="32"/>
          <w:szCs w:val="32"/>
          <w:shd w:val="clear" w:color="auto" w:fill="FFFFFF"/>
        </w:rPr>
        <w:t>（根据各部门（单位）实际支出涉及的支出功能分类类级科目填列）</w:t>
      </w:r>
    </w:p>
    <w:p>
      <w:pPr>
        <w:spacing w:after="100" w:afterAutospacing="1"/>
        <w:ind w:firstLine="640" w:firstLineChars="200"/>
        <w:rPr>
          <w:rFonts w:hint="eastAsia" w:ascii="仿宋_GB2312" w:hAnsi="ˎ̥" w:eastAsia="仿宋_GB2312" w:cs="仿宋_GB2312"/>
          <w:sz w:val="32"/>
          <w:szCs w:val="32"/>
          <w:shd w:val="clear" w:color="auto" w:fill="FFFFFF"/>
        </w:rPr>
      </w:pPr>
      <w:r>
        <w:rPr>
          <w:rFonts w:ascii="仿宋_GB2312" w:hAnsi="ˎ̥" w:eastAsia="仿宋_GB2312" w:cs="仿宋_GB2312"/>
          <w:sz w:val="32"/>
          <w:szCs w:val="32"/>
          <w:shd w:val="clear" w:color="auto" w:fill="FFFFFF"/>
        </w:rPr>
        <w:t>（三）国有资本经营预算财政拨款支出决算具体情况。</w:t>
      </w:r>
    </w:p>
    <w:p>
      <w:pPr>
        <w:spacing w:after="100" w:afterAutospacing="1"/>
        <w:ind w:firstLine="640" w:firstLineChars="200"/>
        <w:rPr>
          <w:rFonts w:hint="eastAsia" w:ascii="仿宋_GB2312" w:hAnsi="ˎ̥" w:eastAsia="仿宋_GB2312" w:cs="仿宋_GB2312"/>
          <w:sz w:val="32"/>
          <w:szCs w:val="32"/>
          <w:shd w:val="clear" w:color="auto" w:fill="FFFFFF"/>
        </w:rPr>
      </w:pPr>
      <w:r>
        <w:rPr>
          <w:rFonts w:ascii="仿宋_GB2312" w:hAnsi="ˎ̥" w:eastAsia="仿宋_GB2312" w:cs="仿宋_GB2312"/>
          <w:sz w:val="32"/>
          <w:szCs w:val="32"/>
          <w:shd w:val="clear" w:color="auto" w:fill="FFFFFF"/>
        </w:rPr>
        <w:t>2021</w:t>
      </w:r>
      <w:r>
        <w:rPr>
          <w:rFonts w:ascii="仿宋_GB2312" w:hAnsi="ˎ̥" w:eastAsia="仿宋_GB2312" w:cs="仿宋_GB2312"/>
          <w:sz w:val="32"/>
          <w:szCs w:val="32"/>
        </w:rPr>
        <w:t>年度国有资本经营预算财政拨款支出年初预算为0万元，支出决算为0.00万元主要原因为我县未编报国有资本经营预算</w:t>
      </w:r>
      <w:r>
        <w:rPr>
          <w:rFonts w:hint="eastAsia" w:ascii="仿宋_GB2312" w:hAnsi="ˎ̥" w:eastAsia="仿宋_GB2312" w:cs="仿宋_GB2312"/>
          <w:sz w:val="32"/>
          <w:szCs w:val="32"/>
        </w:rPr>
        <w:t>。</w:t>
      </w:r>
    </w:p>
    <w:p>
      <w:pPr>
        <w:spacing w:after="100" w:afterAutospacing="1"/>
        <w:ind w:firstLine="640" w:firstLineChars="200"/>
        <w:rPr>
          <w:rFonts w:hint="eastAsia" w:ascii="仿宋_GB2312" w:hAnsi="ˎ̥" w:eastAsia="仿宋_GB2312" w:cs="仿宋_GB2312"/>
          <w:sz w:val="32"/>
          <w:szCs w:val="32"/>
          <w:shd w:val="clear" w:color="auto" w:fill="FFFFFF"/>
        </w:rPr>
      </w:pPr>
      <w:r>
        <w:rPr>
          <w:rFonts w:ascii="仿宋_GB2312" w:hAnsi="ˎ̥" w:eastAsia="仿宋_GB2312" w:cs="仿宋_GB2312"/>
          <w:sz w:val="32"/>
          <w:szCs w:val="32"/>
          <w:shd w:val="clear" w:color="auto" w:fill="FFFFFF"/>
        </w:rPr>
        <w:t>（根据各部门（单位）实际支出涉及的支出功能分类项级科目填列，本部分202</w:t>
      </w:r>
      <w:r>
        <w:rPr>
          <w:rFonts w:hint="eastAsia" w:ascii="仿宋_GB2312" w:hAnsi="ˎ̥" w:eastAsia="仿宋_GB2312" w:cs="仿宋_GB2312"/>
          <w:sz w:val="32"/>
          <w:szCs w:val="32"/>
          <w:shd w:val="clear" w:color="auto" w:fill="FFFFFF"/>
        </w:rPr>
        <w:t>2</w:t>
      </w:r>
      <w:r>
        <w:rPr>
          <w:rFonts w:ascii="仿宋_GB2312" w:hAnsi="ˎ̥" w:eastAsia="仿宋_GB2312" w:cs="仿宋_GB2312"/>
          <w:sz w:val="32"/>
          <w:szCs w:val="32"/>
          <w:shd w:val="clear" w:color="auto" w:fill="FFFFFF"/>
        </w:rPr>
        <w:t>年决算相关数据取自财决公开08表）。</w:t>
      </w:r>
    </w:p>
    <w:p>
      <w:pPr>
        <w:spacing w:afterAutospacing="1"/>
        <w:ind w:firstLine="627" w:firstLineChars="196"/>
        <w:rPr>
          <w:rFonts w:hint="eastAsia" w:ascii="仿宋_GB2312" w:hAnsi="ˎ̥" w:eastAsia="楷体_GB2312" w:cs="仿宋_GB2312"/>
          <w:sz w:val="32"/>
          <w:szCs w:val="32"/>
          <w:shd w:val="clear" w:color="auto" w:fill="FFFFFF"/>
        </w:rPr>
      </w:pPr>
      <w:r>
        <w:rPr>
          <w:rFonts w:hint="eastAsia" w:ascii="黑体" w:hAnsi="宋体" w:eastAsia="黑体" w:cs="黑体"/>
          <w:bCs/>
          <w:sz w:val="32"/>
          <w:szCs w:val="32"/>
          <w:shd w:val="clear" w:color="auto" w:fill="FFFFFF"/>
        </w:rPr>
        <w:t>九、财政拨款“三公”经费支出决算情况说明</w:t>
      </w:r>
    </w:p>
    <w:p>
      <w:pPr>
        <w:spacing w:after="100" w:afterAutospacing="1"/>
        <w:ind w:firstLine="640" w:firstLineChars="200"/>
        <w:rPr>
          <w:rFonts w:hint="eastAsia" w:ascii="仿宋_GB2312" w:hAnsi="ˎ̥" w:eastAsia="仿宋_GB2312" w:cs="仿宋_GB2312"/>
          <w:sz w:val="32"/>
          <w:szCs w:val="32"/>
          <w:shd w:val="clear" w:color="auto" w:fill="FFFFFF"/>
        </w:rPr>
      </w:pPr>
      <w:r>
        <w:rPr>
          <w:rFonts w:ascii="仿宋_GB2312" w:hAnsi="ˎ̥" w:eastAsia="仿宋_GB2312" w:cs="仿宋_GB2312"/>
          <w:sz w:val="32"/>
          <w:szCs w:val="32"/>
          <w:shd w:val="clear" w:color="auto" w:fill="FFFFFF"/>
        </w:rPr>
        <w:t>（一）一般公共预算财政拨款“三公”经费支出决算总体情况说明。</w:t>
      </w:r>
    </w:p>
    <w:p>
      <w:pPr>
        <w:spacing w:after="100" w:afterAutospacing="1"/>
        <w:ind w:firstLine="640" w:firstLineChars="200"/>
        <w:rPr>
          <w:rFonts w:hint="eastAsia" w:ascii="仿宋_GB2312" w:hAnsi="ˎ̥" w:eastAsia="仿宋_GB2312" w:cs="仿宋_GB2312"/>
          <w:sz w:val="32"/>
          <w:szCs w:val="32"/>
          <w:shd w:val="clear" w:color="auto" w:fill="FFFFFF"/>
        </w:rPr>
      </w:pPr>
      <w:r>
        <w:rPr>
          <w:rFonts w:ascii="仿宋_GB2312" w:hAnsi="ˎ̥" w:eastAsia="仿宋_GB2312" w:cs="仿宋_GB2312"/>
          <w:sz w:val="32"/>
          <w:szCs w:val="32"/>
          <w:shd w:val="clear" w:color="auto" w:fill="FFFFFF"/>
        </w:rPr>
        <w:t>202</w:t>
      </w:r>
      <w:r>
        <w:rPr>
          <w:rFonts w:hint="eastAsia" w:ascii="仿宋_GB2312" w:hAnsi="ˎ̥" w:eastAsia="仿宋_GB2312" w:cs="仿宋_GB2312"/>
          <w:sz w:val="32"/>
          <w:szCs w:val="32"/>
          <w:shd w:val="clear" w:color="auto" w:fill="FFFFFF"/>
        </w:rPr>
        <w:t>2</w:t>
      </w:r>
      <w:r>
        <w:rPr>
          <w:rFonts w:ascii="仿宋_GB2312" w:hAnsi="ˎ̥" w:eastAsia="仿宋_GB2312" w:cs="仿宋_GB2312"/>
          <w:sz w:val="32"/>
          <w:szCs w:val="32"/>
        </w:rPr>
        <w:t>年度一般公共预算财政拨款</w:t>
      </w:r>
      <w:r>
        <w:rPr>
          <w:rFonts w:ascii="ˎ̥" w:hAnsi="ˎ̥" w:eastAsia="ˎ̥" w:cs="ˎ̥"/>
          <w:sz w:val="32"/>
          <w:szCs w:val="32"/>
        </w:rPr>
        <w:t>“</w:t>
      </w:r>
      <w:r>
        <w:rPr>
          <w:rFonts w:ascii="仿宋_GB2312" w:hAnsi="ˎ̥" w:eastAsia="仿宋_GB2312" w:cs="仿宋_GB2312"/>
          <w:sz w:val="32"/>
          <w:szCs w:val="32"/>
        </w:rPr>
        <w:t>三公</w:t>
      </w:r>
      <w:r>
        <w:rPr>
          <w:rFonts w:ascii="ˎ̥" w:hAnsi="ˎ̥" w:eastAsia="ˎ̥" w:cs="ˎ̥"/>
          <w:sz w:val="32"/>
          <w:szCs w:val="32"/>
        </w:rPr>
        <w:t>”</w:t>
      </w:r>
      <w:r>
        <w:rPr>
          <w:rFonts w:ascii="仿宋_GB2312" w:hAnsi="ˎ̥" w:eastAsia="仿宋_GB2312" w:cs="仿宋_GB2312"/>
          <w:sz w:val="32"/>
          <w:szCs w:val="32"/>
        </w:rPr>
        <w:t>经费支出预算为0.00万元，支出决算为0.00万元，主要原因年初未编制三公经费预算</w:t>
      </w:r>
      <w:r>
        <w:rPr>
          <w:rFonts w:ascii="仿宋_GB2312" w:hAnsi="ˎ̥" w:eastAsia="仿宋_GB2312" w:cs="仿宋_GB2312"/>
          <w:sz w:val="32"/>
          <w:szCs w:val="32"/>
          <w:shd w:val="clear" w:color="auto" w:fill="FFFFFF"/>
        </w:rPr>
        <w:t>。</w:t>
      </w:r>
    </w:p>
    <w:p>
      <w:pPr>
        <w:spacing w:after="100" w:afterAutospacing="1"/>
        <w:ind w:firstLine="640" w:firstLineChars="200"/>
        <w:rPr>
          <w:rFonts w:hint="eastAsia" w:ascii="仿宋_GB2312" w:hAnsi="ˎ̥" w:eastAsia="仿宋_GB2312" w:cs="仿宋_GB2312"/>
          <w:sz w:val="32"/>
          <w:szCs w:val="32"/>
          <w:shd w:val="clear" w:color="auto" w:fill="FFFFFF"/>
        </w:rPr>
      </w:pPr>
      <w:r>
        <w:rPr>
          <w:rFonts w:ascii="仿宋_GB2312" w:hAnsi="ˎ̥" w:eastAsia="仿宋_GB2312" w:cs="仿宋_GB2312"/>
          <w:sz w:val="32"/>
          <w:szCs w:val="32"/>
          <w:shd w:val="clear" w:color="auto" w:fill="FFFFFF"/>
        </w:rPr>
        <w:t>（二）一般公共预算财政拨款“三公”经费支出决算具体情况说明。</w:t>
      </w:r>
    </w:p>
    <w:p>
      <w:pPr>
        <w:spacing w:after="100" w:afterAutospacing="1"/>
        <w:ind w:firstLine="640" w:firstLineChars="200"/>
        <w:rPr>
          <w:rFonts w:hint="eastAsia" w:ascii="仿宋_GB2312" w:hAnsi="ˎ̥" w:eastAsia="仿宋_GB2312" w:cs="仿宋_GB2312"/>
          <w:sz w:val="32"/>
          <w:szCs w:val="32"/>
          <w:shd w:val="clear" w:color="auto" w:fill="FFFFFF"/>
        </w:rPr>
      </w:pPr>
      <w:r>
        <w:rPr>
          <w:rFonts w:ascii="仿宋_GB2312" w:hAnsi="ˎ̥" w:eastAsia="仿宋_GB2312" w:cs="仿宋_GB2312"/>
          <w:sz w:val="32"/>
          <w:szCs w:val="32"/>
          <w:shd w:val="clear" w:color="auto" w:fill="FFFFFF"/>
        </w:rPr>
        <w:t>202</w:t>
      </w:r>
      <w:r>
        <w:rPr>
          <w:rFonts w:hint="eastAsia" w:ascii="仿宋_GB2312" w:hAnsi="ˎ̥" w:eastAsia="仿宋_GB2312" w:cs="仿宋_GB2312"/>
          <w:sz w:val="32"/>
          <w:szCs w:val="32"/>
          <w:shd w:val="clear" w:color="auto" w:fill="FFFFFF"/>
        </w:rPr>
        <w:t>2</w:t>
      </w:r>
      <w:r>
        <w:rPr>
          <w:rFonts w:ascii="仿宋_GB2312" w:hAnsi="ˎ̥" w:eastAsia="仿宋_GB2312" w:cs="仿宋_GB2312"/>
          <w:sz w:val="32"/>
          <w:szCs w:val="32"/>
          <w:shd w:val="clear" w:color="auto" w:fill="FFFFFF"/>
        </w:rPr>
        <w:t>年度</w:t>
      </w:r>
      <w:r>
        <w:rPr>
          <w:rFonts w:ascii="仿宋_GB2312" w:hAnsi="ˎ̥" w:eastAsia="仿宋_GB2312" w:cs="仿宋_GB2312"/>
          <w:sz w:val="32"/>
          <w:szCs w:val="32"/>
        </w:rPr>
        <w:t>一般公共预算财政拨款</w:t>
      </w:r>
      <w:r>
        <w:rPr>
          <w:rFonts w:ascii="ˎ̥" w:hAnsi="ˎ̥" w:eastAsia="ˎ̥" w:cs="ˎ̥"/>
          <w:sz w:val="32"/>
          <w:szCs w:val="32"/>
        </w:rPr>
        <w:t>“</w:t>
      </w:r>
      <w:r>
        <w:rPr>
          <w:rFonts w:ascii="仿宋_GB2312" w:hAnsi="ˎ̥" w:eastAsia="仿宋_GB2312" w:cs="仿宋_GB2312"/>
          <w:sz w:val="32"/>
          <w:szCs w:val="32"/>
        </w:rPr>
        <w:t>三公</w:t>
      </w:r>
      <w:r>
        <w:rPr>
          <w:rFonts w:ascii="ˎ̥" w:hAnsi="ˎ̥" w:eastAsia="ˎ̥" w:cs="ˎ̥"/>
          <w:sz w:val="32"/>
          <w:szCs w:val="32"/>
        </w:rPr>
        <w:t>”</w:t>
      </w:r>
      <w:r>
        <w:rPr>
          <w:rFonts w:ascii="仿宋_GB2312" w:hAnsi="ˎ̥" w:eastAsia="仿宋_GB2312" w:cs="仿宋_GB2312"/>
          <w:sz w:val="32"/>
          <w:szCs w:val="32"/>
        </w:rPr>
        <w:t>经费支出决算中，因公出国（境）费支出决算0.00万元；公务用车购置及运行费支出决算0.00万元；公务接待费支出决算0.00万元。主要原因年初未编制三公经费预算</w:t>
      </w:r>
      <w:r>
        <w:rPr>
          <w:rFonts w:hint="eastAsia" w:ascii="仿宋_GB2312" w:hAnsi="ˎ̥" w:eastAsia="仿宋_GB2312" w:cs="仿宋_GB2312"/>
          <w:sz w:val="32"/>
          <w:szCs w:val="32"/>
        </w:rPr>
        <w:t>。</w:t>
      </w:r>
    </w:p>
    <w:p>
      <w:pPr>
        <w:spacing w:afterAutospacing="1"/>
        <w:ind w:firstLine="640" w:firstLineChars="200"/>
        <w:rPr>
          <w:rFonts w:hint="eastAsia" w:ascii="仿宋_GB2312" w:hAnsi="ˎ̥" w:eastAsia="仿宋_GB2312" w:cs="仿宋_GB2312"/>
          <w:sz w:val="32"/>
          <w:szCs w:val="32"/>
          <w:shd w:val="clear" w:color="auto" w:fill="FFFFFF"/>
        </w:rPr>
      </w:pPr>
      <w:r>
        <w:rPr>
          <w:rFonts w:hint="eastAsia" w:ascii="仿宋_GB2312" w:hAnsi="ˎ̥" w:eastAsia="仿宋_GB2312" w:cs="仿宋_GB2312"/>
          <w:sz w:val="32"/>
          <w:szCs w:val="32"/>
          <w:shd w:val="clear" w:color="auto" w:fill="FFFFFF"/>
        </w:rPr>
        <w:t>（注：2022年度“三公”经费预算数、决算数可取自附件财决公开09表，2022年的出国团组数、出国人次，公务用车购置数、公务用车保有量，接待团组数、接待人次可取自部门决算报表F03表《机构运行信息表》）。</w:t>
      </w:r>
    </w:p>
    <w:p>
      <w:pPr>
        <w:spacing w:afterAutospacing="1"/>
        <w:ind w:firstLine="640" w:firstLineChars="200"/>
        <w:rPr>
          <w:rFonts w:ascii="黑体" w:hAnsi="宋体" w:eastAsia="黑体" w:cs="黑体"/>
          <w:bCs/>
          <w:sz w:val="32"/>
          <w:szCs w:val="32"/>
          <w:shd w:val="clear" w:color="auto" w:fill="FFFFFF"/>
        </w:rPr>
      </w:pPr>
      <w:r>
        <w:rPr>
          <w:rFonts w:hint="eastAsia" w:ascii="黑体" w:hAnsi="宋体" w:eastAsia="黑体" w:cs="黑体"/>
          <w:bCs/>
          <w:sz w:val="32"/>
          <w:szCs w:val="32"/>
          <w:shd w:val="clear" w:color="auto" w:fill="FFFFFF"/>
        </w:rPr>
        <w:t>十、预算绩效情况说明。</w:t>
      </w:r>
    </w:p>
    <w:p>
      <w:pPr>
        <w:adjustRightInd w:val="0"/>
        <w:snapToGrid w:val="0"/>
        <w:spacing w:line="600" w:lineRule="exact"/>
        <w:ind w:firstLine="640" w:firstLineChars="200"/>
        <w:rPr>
          <w:rFonts w:ascii="仿宋_GB2312" w:eastAsia="仿宋_GB2312" w:cs="仿宋_GB2312"/>
          <w:sz w:val="32"/>
          <w:szCs w:val="32"/>
          <w:shd w:val="clear" w:color="auto" w:fill="FFFFFF"/>
        </w:rPr>
      </w:pPr>
      <w:r>
        <w:rPr>
          <w:rFonts w:ascii="仿宋_GB2312" w:eastAsia="仿宋_GB2312" w:cs="仿宋_GB2312"/>
          <w:sz w:val="32"/>
          <w:szCs w:val="32"/>
          <w:shd w:val="clear" w:color="auto" w:fill="FFFFFF"/>
        </w:rPr>
        <w:t>根据财政预算管理要求，我单位组织对202</w:t>
      </w:r>
      <w:r>
        <w:rPr>
          <w:rFonts w:hint="eastAsia" w:ascii="仿宋_GB2312" w:eastAsia="仿宋_GB2312" w:cs="仿宋_GB2312"/>
          <w:sz w:val="32"/>
          <w:szCs w:val="32"/>
          <w:shd w:val="clear" w:color="auto" w:fill="FFFFFF"/>
        </w:rPr>
        <w:t>2</w:t>
      </w:r>
      <w:r>
        <w:rPr>
          <w:rFonts w:ascii="仿宋_GB2312" w:eastAsia="仿宋_GB2312" w:cs="仿宋_GB2312"/>
          <w:sz w:val="32"/>
          <w:szCs w:val="32"/>
          <w:shd w:val="clear" w:color="auto" w:fill="FFFFFF"/>
        </w:rPr>
        <w:t>年度一般公共预算项目支出全面开展绩效自评。自评项目</w:t>
      </w:r>
      <w:r>
        <w:rPr>
          <w:rFonts w:hint="eastAsia" w:ascii="仿宋_GB2312" w:eastAsia="仿宋_GB2312" w:cs="仿宋_GB2312"/>
          <w:sz w:val="32"/>
          <w:szCs w:val="32"/>
          <w:shd w:val="clear" w:color="auto" w:fill="FFFFFF"/>
        </w:rPr>
        <w:t>2</w:t>
      </w:r>
      <w:r>
        <w:rPr>
          <w:rFonts w:ascii="仿宋_GB2312" w:eastAsia="仿宋_GB2312" w:cs="仿宋_GB2312"/>
          <w:sz w:val="32"/>
          <w:szCs w:val="32"/>
          <w:shd w:val="clear" w:color="auto" w:fill="FFFFFF"/>
        </w:rPr>
        <w:t>个，共涉及资金</w:t>
      </w:r>
      <w:r>
        <w:rPr>
          <w:rFonts w:hint="eastAsia" w:ascii="仿宋_GB2312" w:eastAsia="仿宋_GB2312" w:cs="仿宋_GB2312"/>
          <w:sz w:val="32"/>
          <w:szCs w:val="32"/>
          <w:shd w:val="clear" w:color="auto" w:fill="FFFFFF"/>
        </w:rPr>
        <w:t>58.94</w:t>
      </w:r>
      <w:r>
        <w:rPr>
          <w:rFonts w:ascii="仿宋_GB2312" w:eastAsia="仿宋_GB2312" w:cs="仿宋_GB2312"/>
          <w:sz w:val="32"/>
          <w:szCs w:val="32"/>
          <w:shd w:val="clear" w:color="auto" w:fill="FFFFFF"/>
        </w:rPr>
        <w:t>万元，自评覆盖率达到</w:t>
      </w:r>
      <w:r>
        <w:rPr>
          <w:rFonts w:hint="eastAsia" w:ascii="仿宋_GB2312" w:eastAsia="仿宋_GB2312" w:cs="仿宋_GB2312"/>
          <w:color w:val="FF0000"/>
          <w:sz w:val="32"/>
          <w:szCs w:val="32"/>
          <w:shd w:val="clear" w:color="auto" w:fill="FFFFFF"/>
        </w:rPr>
        <w:t>20</w:t>
      </w:r>
      <w:r>
        <w:rPr>
          <w:rFonts w:ascii="仿宋_GB2312" w:eastAsia="仿宋_GB2312" w:cs="仿宋_GB2312"/>
          <w:sz w:val="32"/>
          <w:szCs w:val="32"/>
          <w:shd w:val="clear" w:color="auto" w:fill="FFFFFF"/>
        </w:rPr>
        <w:t>%,覆盖率低主要是我单位一般公共预算支出中主要为基本支出，项目支出较少。</w:t>
      </w:r>
    </w:p>
    <w:p>
      <w:pPr>
        <w:adjustRightInd w:val="0"/>
        <w:snapToGrid w:val="0"/>
        <w:spacing w:line="600" w:lineRule="exact"/>
        <w:ind w:firstLine="640" w:firstLineChars="200"/>
        <w:rPr>
          <w:rFonts w:ascii="仿宋_GB2312" w:eastAsia="仿宋_GB2312" w:cs="仿宋_GB2312"/>
          <w:sz w:val="32"/>
          <w:szCs w:val="32"/>
          <w:shd w:val="clear" w:color="auto" w:fill="FFFFFF"/>
        </w:rPr>
      </w:pPr>
      <w:r>
        <w:rPr>
          <w:rFonts w:ascii="仿宋_GB2312" w:eastAsia="仿宋_GB2312" w:cs="仿宋_GB2312"/>
          <w:sz w:val="32"/>
          <w:szCs w:val="32"/>
          <w:shd w:val="clear" w:color="auto" w:fill="FFFFFF"/>
        </w:rPr>
        <w:t>我单位成立了预算绩效管理小组，对202</w:t>
      </w:r>
      <w:r>
        <w:rPr>
          <w:rFonts w:hint="eastAsia" w:ascii="仿宋_GB2312" w:eastAsia="仿宋_GB2312" w:cs="仿宋_GB2312"/>
          <w:sz w:val="32"/>
          <w:szCs w:val="32"/>
          <w:shd w:val="clear" w:color="auto" w:fill="FFFFFF"/>
        </w:rPr>
        <w:t>2</w:t>
      </w:r>
      <w:r>
        <w:rPr>
          <w:rFonts w:ascii="仿宋_GB2312" w:eastAsia="仿宋_GB2312" w:cs="仿宋_GB2312"/>
          <w:sz w:val="32"/>
          <w:szCs w:val="32"/>
          <w:shd w:val="clear" w:color="auto" w:fill="FFFFFF"/>
        </w:rPr>
        <w:t>年</w:t>
      </w:r>
      <w:r>
        <w:rPr>
          <w:rFonts w:hint="eastAsia" w:ascii="仿宋_GB2312" w:eastAsia="仿宋_GB2312" w:cs="仿宋_GB2312"/>
          <w:sz w:val="32"/>
          <w:szCs w:val="32"/>
          <w:shd w:val="clear" w:color="auto" w:fill="FFFFFF"/>
        </w:rPr>
        <w:t>2</w:t>
      </w:r>
      <w:r>
        <w:rPr>
          <w:rFonts w:ascii="仿宋_GB2312" w:eastAsia="仿宋_GB2312" w:cs="仿宋_GB2312"/>
          <w:sz w:val="32"/>
          <w:szCs w:val="32"/>
          <w:shd w:val="clear" w:color="auto" w:fill="FFFFFF"/>
        </w:rPr>
        <w:t>个预算项目开展了绩效评价，为幼儿园公用经费县级配套资金</w:t>
      </w:r>
      <w:r>
        <w:rPr>
          <w:rFonts w:hint="eastAsia" w:ascii="仿宋_GB2312" w:eastAsia="仿宋_GB2312" w:cs="仿宋_GB2312"/>
          <w:sz w:val="32"/>
          <w:szCs w:val="32"/>
          <w:shd w:val="clear" w:color="auto" w:fill="FFFFFF"/>
        </w:rPr>
        <w:t>项目、</w:t>
      </w:r>
      <w:r>
        <w:rPr>
          <w:rFonts w:ascii="仿宋_GB2312" w:eastAsia="仿宋_GB2312" w:cs="仿宋_GB2312"/>
          <w:sz w:val="32"/>
          <w:szCs w:val="32"/>
          <w:shd w:val="clear" w:color="auto" w:fill="FFFFFF"/>
        </w:rPr>
        <w:t>幼儿保育保教经费项目，涉及金额</w:t>
      </w:r>
      <w:r>
        <w:rPr>
          <w:rFonts w:hint="eastAsia" w:ascii="仿宋_GB2312" w:eastAsia="仿宋_GB2312" w:cs="仿宋_GB2312"/>
          <w:sz w:val="32"/>
          <w:szCs w:val="32"/>
          <w:shd w:val="clear" w:color="auto" w:fill="FFFFFF"/>
        </w:rPr>
        <w:t>58.94</w:t>
      </w:r>
      <w:r>
        <w:rPr>
          <w:rFonts w:ascii="仿宋_GB2312" w:eastAsia="仿宋_GB2312" w:cs="仿宋_GB2312"/>
          <w:sz w:val="32"/>
          <w:szCs w:val="32"/>
          <w:shd w:val="clear" w:color="auto" w:fill="FFFFFF"/>
        </w:rPr>
        <w:t>万元，本年该项目进展符合预期安排，各项评价指标完成度较好。</w:t>
      </w:r>
    </w:p>
    <w:p>
      <w:pPr>
        <w:spacing w:afterAutospacing="1" w:line="578" w:lineRule="exact"/>
        <w:ind w:firstLine="640" w:firstLineChars="200"/>
        <w:rPr>
          <w:rFonts w:ascii="仿宋_GB2312" w:eastAsia="仿宋_GB2312" w:cs="仿宋_GB2312"/>
          <w:sz w:val="32"/>
          <w:szCs w:val="32"/>
          <w:shd w:val="clear" w:color="auto" w:fill="FFFFFF"/>
        </w:rPr>
      </w:pPr>
      <w:r>
        <w:rPr>
          <w:rFonts w:ascii="仿宋_GB2312" w:eastAsia="仿宋_GB2312" w:cs="仿宋_GB2312"/>
          <w:sz w:val="32"/>
          <w:szCs w:val="32"/>
          <w:shd w:val="clear" w:color="auto" w:fill="FFFFFF"/>
        </w:rPr>
        <w:t>开展整体支出绩效评价，涉及资金</w:t>
      </w:r>
      <w:r>
        <w:rPr>
          <w:rFonts w:hint="eastAsia" w:ascii="仿宋_GB2312" w:eastAsia="仿宋_GB2312" w:cs="仿宋_GB2312"/>
          <w:sz w:val="32"/>
          <w:szCs w:val="32"/>
          <w:shd w:val="clear" w:color="auto" w:fill="FFFFFF"/>
        </w:rPr>
        <w:t>58.94</w:t>
      </w:r>
      <w:r>
        <w:rPr>
          <w:rFonts w:ascii="仿宋_GB2312" w:eastAsia="仿宋_GB2312" w:cs="仿宋_GB2312"/>
          <w:sz w:val="32"/>
          <w:szCs w:val="32"/>
          <w:shd w:val="clear" w:color="auto" w:fill="FFFFFF"/>
        </w:rPr>
        <w:t>万元。从评价情况来看，我单位幼儿园公用经费县级配套资金</w:t>
      </w:r>
      <w:r>
        <w:rPr>
          <w:rFonts w:hint="eastAsia" w:ascii="仿宋_GB2312" w:eastAsia="仿宋_GB2312" w:cs="仿宋_GB2312"/>
          <w:sz w:val="32"/>
          <w:szCs w:val="32"/>
          <w:shd w:val="clear" w:color="auto" w:fill="FFFFFF"/>
        </w:rPr>
        <w:t>项目</w:t>
      </w:r>
      <w:r>
        <w:rPr>
          <w:rFonts w:ascii="仿宋_GB2312" w:eastAsia="仿宋_GB2312" w:cs="仿宋_GB2312"/>
          <w:sz w:val="32"/>
          <w:szCs w:val="32"/>
          <w:shd w:val="clear" w:color="auto" w:fill="FFFFFF"/>
        </w:rPr>
        <w:t>得分</w:t>
      </w:r>
      <w:r>
        <w:rPr>
          <w:rFonts w:hint="eastAsia" w:ascii="仿宋_GB2312" w:eastAsia="仿宋_GB2312" w:cs="仿宋_GB2312"/>
          <w:sz w:val="32"/>
          <w:szCs w:val="32"/>
          <w:shd w:val="clear" w:color="auto" w:fill="FFFFFF"/>
        </w:rPr>
        <w:t>100</w:t>
      </w:r>
      <w:r>
        <w:rPr>
          <w:rFonts w:ascii="仿宋_GB2312" w:eastAsia="仿宋_GB2312" w:cs="仿宋_GB2312"/>
          <w:sz w:val="32"/>
          <w:szCs w:val="32"/>
          <w:shd w:val="clear" w:color="auto" w:fill="FFFFFF"/>
        </w:rPr>
        <w:t>分，幼儿保育保教经费</w:t>
      </w:r>
      <w:r>
        <w:rPr>
          <w:rFonts w:hint="eastAsia" w:ascii="仿宋_GB2312" w:eastAsia="仿宋_GB2312" w:cs="仿宋_GB2312"/>
          <w:sz w:val="32"/>
          <w:szCs w:val="32"/>
          <w:shd w:val="clear" w:color="auto" w:fill="FFFFFF"/>
        </w:rPr>
        <w:t>项目</w:t>
      </w:r>
      <w:r>
        <w:rPr>
          <w:rFonts w:ascii="仿宋_GB2312" w:eastAsia="仿宋_GB2312" w:cs="仿宋_GB2312"/>
          <w:sz w:val="32"/>
          <w:szCs w:val="32"/>
          <w:shd w:val="clear" w:color="auto" w:fill="FFFFFF"/>
        </w:rPr>
        <w:t>得分</w:t>
      </w:r>
      <w:r>
        <w:rPr>
          <w:rFonts w:hint="eastAsia" w:ascii="仿宋_GB2312" w:eastAsia="仿宋_GB2312" w:cs="仿宋_GB2312"/>
          <w:sz w:val="32"/>
          <w:szCs w:val="32"/>
          <w:shd w:val="clear" w:color="auto" w:fill="FFFFFF"/>
        </w:rPr>
        <w:t>100</w:t>
      </w:r>
      <w:r>
        <w:rPr>
          <w:rFonts w:ascii="仿宋_GB2312" w:eastAsia="仿宋_GB2312" w:cs="仿宋_GB2312"/>
          <w:sz w:val="32"/>
          <w:szCs w:val="32"/>
          <w:shd w:val="clear" w:color="auto" w:fill="FFFFFF"/>
        </w:rPr>
        <w:t>分</w:t>
      </w:r>
      <w:r>
        <w:rPr>
          <w:rFonts w:hint="eastAsia" w:ascii="仿宋_GB2312" w:eastAsia="仿宋_GB2312" w:cs="仿宋_GB2312"/>
          <w:sz w:val="32"/>
          <w:szCs w:val="32"/>
          <w:shd w:val="clear" w:color="auto" w:fill="FFFFFF"/>
        </w:rPr>
        <w:t>.</w:t>
      </w:r>
      <w:r>
        <w:rPr>
          <w:rFonts w:ascii="仿宋_GB2312" w:eastAsia="仿宋_GB2312" w:cs="仿宋_GB2312"/>
          <w:sz w:val="32"/>
          <w:szCs w:val="32"/>
          <w:shd w:val="clear" w:color="auto" w:fill="FFFFFF"/>
        </w:rPr>
        <w:t>在开展的过程中，并未出现任何问题。</w:t>
      </w:r>
    </w:p>
    <w:p>
      <w:pPr>
        <w:spacing w:afterAutospacing="1" w:line="578" w:lineRule="exact"/>
        <w:ind w:firstLine="640" w:firstLineChars="200"/>
        <w:rPr>
          <w:rFonts w:ascii="楷体" w:hAnsi="楷体" w:eastAsia="楷体" w:cs="楷体"/>
          <w:bCs/>
          <w:sz w:val="32"/>
          <w:szCs w:val="32"/>
          <w:shd w:val="clear" w:color="auto" w:fill="FFFFFF"/>
        </w:rPr>
      </w:pPr>
      <w:r>
        <w:rPr>
          <w:rFonts w:hint="eastAsia" w:ascii="楷体" w:hAnsi="楷体" w:eastAsia="楷体" w:cs="楷体"/>
          <w:bCs/>
          <w:sz w:val="32"/>
          <w:szCs w:val="32"/>
          <w:shd w:val="clear" w:color="auto" w:fill="FFFFFF"/>
        </w:rPr>
        <w:t>（二）部门决算中项目绩效自评结果（预算部门、单位可根据实际情况反映重点项目绩效自评结果）。</w:t>
      </w:r>
    </w:p>
    <w:p>
      <w:pPr>
        <w:adjustRightInd w:val="0"/>
        <w:snapToGrid w:val="0"/>
        <w:spacing w:line="600" w:lineRule="exact"/>
        <w:ind w:firstLine="640" w:firstLineChars="200"/>
        <w:rPr>
          <w:rFonts w:ascii="仿宋_GB2312" w:eastAsia="仿宋_GB2312" w:cs="仿宋_GB2312"/>
          <w:sz w:val="32"/>
          <w:szCs w:val="32"/>
          <w:shd w:val="clear" w:color="auto" w:fill="FFFFFF"/>
        </w:rPr>
      </w:pPr>
      <w:r>
        <w:rPr>
          <w:rFonts w:hint="eastAsia" w:ascii="仿宋_GB2312" w:eastAsia="仿宋_GB2312" w:cs="仿宋_GB2312"/>
          <w:sz w:val="32"/>
          <w:szCs w:val="32"/>
          <w:shd w:val="clear" w:color="auto" w:fill="FFFFFF"/>
        </w:rPr>
        <w:t>1.</w:t>
      </w:r>
      <w:r>
        <w:rPr>
          <w:rFonts w:ascii="仿宋_GB2312" w:eastAsia="仿宋_GB2312" w:cs="仿宋_GB2312"/>
          <w:sz w:val="32"/>
          <w:szCs w:val="32"/>
          <w:shd w:val="clear" w:color="auto" w:fill="FFFFFF"/>
        </w:rPr>
        <w:t>我单位今年在幼儿园公用经费县级配套资金项目绩效自评结果</w:t>
      </w:r>
      <w:r>
        <w:rPr>
          <w:rFonts w:hint="eastAsia" w:ascii="仿宋_GB2312" w:eastAsia="仿宋_GB2312" w:cs="仿宋_GB2312"/>
          <w:sz w:val="32"/>
          <w:szCs w:val="32"/>
          <w:shd w:val="clear" w:color="auto" w:fill="FFFFFF"/>
        </w:rPr>
        <w:t>。</w:t>
      </w:r>
      <w:r>
        <w:rPr>
          <w:rFonts w:ascii="仿宋_GB2312" w:eastAsia="仿宋_GB2312" w:cs="仿宋_GB2312"/>
          <w:sz w:val="32"/>
          <w:szCs w:val="32"/>
          <w:shd w:val="clear" w:color="auto" w:fill="FFFFFF"/>
        </w:rPr>
        <w:t>幼儿园公用经费县级配套资金项目绩效自评综述：根据年初设定的绩效目标，项目自评得分为</w:t>
      </w:r>
      <w:r>
        <w:rPr>
          <w:rFonts w:hint="eastAsia" w:ascii="仿宋_GB2312" w:eastAsia="仿宋_GB2312" w:cs="仿宋_GB2312"/>
          <w:sz w:val="32"/>
          <w:szCs w:val="32"/>
          <w:shd w:val="clear" w:color="auto" w:fill="FFFFFF"/>
        </w:rPr>
        <w:t>100</w:t>
      </w:r>
      <w:r>
        <w:rPr>
          <w:rFonts w:ascii="仿宋_GB2312" w:eastAsia="仿宋_GB2312" w:cs="仿宋_GB2312"/>
          <w:sz w:val="32"/>
          <w:szCs w:val="32"/>
          <w:shd w:val="clear" w:color="auto" w:fill="FFFFFF"/>
        </w:rPr>
        <w:t>分。全年预算数为</w:t>
      </w:r>
      <w:r>
        <w:rPr>
          <w:rFonts w:hint="eastAsia" w:ascii="仿宋_GB2312" w:eastAsia="仿宋_GB2312" w:cs="仿宋_GB2312"/>
          <w:sz w:val="32"/>
          <w:szCs w:val="32"/>
          <w:shd w:val="clear" w:color="auto" w:fill="FFFFFF"/>
        </w:rPr>
        <w:t>20.56</w:t>
      </w:r>
      <w:r>
        <w:rPr>
          <w:rFonts w:ascii="仿宋_GB2312" w:eastAsia="仿宋_GB2312" w:cs="仿宋_GB2312"/>
          <w:sz w:val="32"/>
          <w:szCs w:val="32"/>
          <w:shd w:val="clear" w:color="auto" w:fill="FFFFFF"/>
        </w:rPr>
        <w:t>万元，执行数为</w:t>
      </w:r>
      <w:r>
        <w:rPr>
          <w:rFonts w:hint="eastAsia" w:ascii="仿宋_GB2312" w:eastAsia="仿宋_GB2312" w:cs="仿宋_GB2312"/>
          <w:sz w:val="32"/>
          <w:szCs w:val="32"/>
          <w:shd w:val="clear" w:color="auto" w:fill="FFFFFF"/>
        </w:rPr>
        <w:t>20.56</w:t>
      </w:r>
      <w:r>
        <w:rPr>
          <w:rFonts w:ascii="仿宋_GB2312" w:eastAsia="仿宋_GB2312" w:cs="仿宋_GB2312"/>
          <w:sz w:val="32"/>
          <w:szCs w:val="32"/>
          <w:shd w:val="clear" w:color="auto" w:fill="FFFFFF"/>
        </w:rPr>
        <w:t>万元，完成预算的100%。项目绩效目标完成情况：一是资金及时到达；二是各项绩效指标完成较好。下一步</w:t>
      </w:r>
      <w:r>
        <w:rPr>
          <w:rFonts w:hint="eastAsia" w:ascii="仿宋_GB2312" w:eastAsia="仿宋_GB2312" w:cs="仿宋_GB2312"/>
          <w:sz w:val="32"/>
          <w:szCs w:val="32"/>
          <w:shd w:val="clear" w:color="auto" w:fill="FFFFFF"/>
        </w:rPr>
        <w:t>计划</w:t>
      </w:r>
      <w:r>
        <w:rPr>
          <w:rFonts w:ascii="仿宋_GB2312" w:eastAsia="仿宋_GB2312" w:cs="仿宋_GB2312"/>
          <w:sz w:val="32"/>
          <w:szCs w:val="32"/>
          <w:shd w:val="clear" w:color="auto" w:fill="FFFFFF"/>
        </w:rPr>
        <w:t>：全面做好支出分析，统筹兼顾</w:t>
      </w:r>
      <w:r>
        <w:rPr>
          <w:rFonts w:hint="eastAsia" w:ascii="仿宋_GB2312" w:eastAsia="仿宋_GB2312" w:cs="仿宋_GB2312"/>
          <w:sz w:val="32"/>
          <w:szCs w:val="32"/>
          <w:shd w:val="clear" w:color="auto" w:fill="FFFFFF"/>
        </w:rPr>
        <w:t>，确保园区正常运转</w:t>
      </w:r>
      <w:r>
        <w:rPr>
          <w:rFonts w:ascii="仿宋_GB2312" w:eastAsia="仿宋_GB2312" w:cs="仿宋_GB2312"/>
          <w:sz w:val="32"/>
          <w:szCs w:val="32"/>
          <w:shd w:val="clear" w:color="auto" w:fill="FFFFFF"/>
        </w:rPr>
        <w:t>。</w:t>
      </w:r>
    </w:p>
    <w:p>
      <w:pPr>
        <w:adjustRightInd w:val="0"/>
        <w:snapToGrid w:val="0"/>
        <w:spacing w:line="600" w:lineRule="exact"/>
        <w:ind w:firstLine="640" w:firstLineChars="200"/>
        <w:rPr>
          <w:rFonts w:ascii="仿宋_GB2312" w:eastAsia="仿宋_GB2312" w:cs="仿宋_GB2312"/>
          <w:sz w:val="32"/>
          <w:szCs w:val="32"/>
          <w:shd w:val="clear" w:color="auto" w:fill="FFFFFF"/>
        </w:rPr>
      </w:pPr>
      <w:r>
        <w:rPr>
          <w:rFonts w:ascii="仿宋_GB2312" w:eastAsia="仿宋_GB2312" w:cs="仿宋_GB2312"/>
          <w:sz w:val="32"/>
          <w:szCs w:val="32"/>
          <w:shd w:val="clear" w:color="auto" w:fill="FFFFFF"/>
        </w:rPr>
        <w:t>幼儿园公用经费县级配套资金项目绩效自评综述：总体完成情况较好，各项考核指标都能按预期目标完成，也确保了园区的正常运转。</w:t>
      </w:r>
    </w:p>
    <w:p>
      <w:pPr>
        <w:adjustRightInd w:val="0"/>
        <w:snapToGrid w:val="0"/>
        <w:spacing w:line="600" w:lineRule="exact"/>
        <w:ind w:firstLine="640" w:firstLineChars="200"/>
        <w:rPr>
          <w:rFonts w:ascii="仿宋_GB2312" w:eastAsia="仿宋_GB2312" w:cs="仿宋_GB2312"/>
          <w:sz w:val="32"/>
          <w:szCs w:val="32"/>
          <w:shd w:val="clear" w:color="auto" w:fill="FFFFFF"/>
        </w:rPr>
      </w:pPr>
      <w:r>
        <w:rPr>
          <w:rFonts w:hint="eastAsia" w:ascii="仿宋_GB2312" w:eastAsia="仿宋_GB2312" w:cs="仿宋_GB2312"/>
          <w:sz w:val="32"/>
          <w:szCs w:val="32"/>
          <w:shd w:val="clear" w:color="auto" w:fill="FFFFFF"/>
        </w:rPr>
        <w:t>2.</w:t>
      </w:r>
      <w:r>
        <w:rPr>
          <w:rFonts w:ascii="仿宋_GB2312" w:eastAsia="仿宋_GB2312" w:cs="仿宋_GB2312"/>
          <w:sz w:val="32"/>
          <w:szCs w:val="32"/>
          <w:shd w:val="clear" w:color="auto" w:fill="FFFFFF"/>
        </w:rPr>
        <w:t>我单位今年在幼儿保育保教经费项目绩效自评结果</w:t>
      </w:r>
      <w:r>
        <w:rPr>
          <w:rFonts w:hint="eastAsia" w:ascii="仿宋_GB2312" w:eastAsia="仿宋_GB2312" w:cs="仿宋_GB2312"/>
          <w:sz w:val="32"/>
          <w:szCs w:val="32"/>
          <w:shd w:val="clear" w:color="auto" w:fill="FFFFFF"/>
        </w:rPr>
        <w:t>。</w:t>
      </w:r>
      <w:r>
        <w:rPr>
          <w:rFonts w:ascii="仿宋_GB2312" w:eastAsia="仿宋_GB2312" w:cs="仿宋_GB2312"/>
          <w:sz w:val="32"/>
          <w:szCs w:val="32"/>
          <w:shd w:val="clear" w:color="auto" w:fill="FFFFFF"/>
        </w:rPr>
        <w:t>幼儿园公用经费项目绩效自评综述：根据年初设定的绩效目标，项目自评得分为</w:t>
      </w:r>
      <w:r>
        <w:rPr>
          <w:rFonts w:hint="eastAsia" w:ascii="仿宋_GB2312" w:eastAsia="仿宋_GB2312" w:cs="仿宋_GB2312"/>
          <w:sz w:val="32"/>
          <w:szCs w:val="32"/>
          <w:shd w:val="clear" w:color="auto" w:fill="FFFFFF"/>
        </w:rPr>
        <w:t>100</w:t>
      </w:r>
      <w:r>
        <w:rPr>
          <w:rFonts w:ascii="仿宋_GB2312" w:eastAsia="仿宋_GB2312" w:cs="仿宋_GB2312"/>
          <w:sz w:val="32"/>
          <w:szCs w:val="32"/>
          <w:shd w:val="clear" w:color="auto" w:fill="FFFFFF"/>
        </w:rPr>
        <w:t>分。全年预算数为</w:t>
      </w:r>
      <w:r>
        <w:rPr>
          <w:rFonts w:hint="eastAsia" w:ascii="仿宋_GB2312" w:eastAsia="仿宋_GB2312" w:cs="仿宋_GB2312"/>
          <w:sz w:val="32"/>
          <w:szCs w:val="32"/>
          <w:shd w:val="clear" w:color="auto" w:fill="FFFFFF"/>
        </w:rPr>
        <w:t>38.38</w:t>
      </w:r>
      <w:r>
        <w:rPr>
          <w:rFonts w:ascii="仿宋_GB2312" w:eastAsia="仿宋_GB2312" w:cs="仿宋_GB2312"/>
          <w:sz w:val="32"/>
          <w:szCs w:val="32"/>
          <w:shd w:val="clear" w:color="auto" w:fill="FFFFFF"/>
        </w:rPr>
        <w:t>万元，执行数为</w:t>
      </w:r>
      <w:r>
        <w:rPr>
          <w:rFonts w:hint="eastAsia" w:ascii="仿宋_GB2312" w:eastAsia="仿宋_GB2312" w:cs="仿宋_GB2312"/>
          <w:sz w:val="32"/>
          <w:szCs w:val="32"/>
          <w:shd w:val="clear" w:color="auto" w:fill="FFFFFF"/>
        </w:rPr>
        <w:t>38.38</w:t>
      </w:r>
      <w:r>
        <w:rPr>
          <w:rFonts w:ascii="仿宋_GB2312" w:eastAsia="仿宋_GB2312" w:cs="仿宋_GB2312"/>
          <w:sz w:val="32"/>
          <w:szCs w:val="32"/>
          <w:shd w:val="clear" w:color="auto" w:fill="FFFFFF"/>
        </w:rPr>
        <w:t>万元，完成预算的</w:t>
      </w:r>
      <w:r>
        <w:rPr>
          <w:rFonts w:hint="eastAsia" w:ascii="仿宋_GB2312" w:eastAsia="仿宋_GB2312" w:cs="仿宋_GB2312"/>
          <w:sz w:val="32"/>
          <w:szCs w:val="32"/>
          <w:shd w:val="clear" w:color="auto" w:fill="FFFFFF"/>
        </w:rPr>
        <w:t>100</w:t>
      </w:r>
      <w:r>
        <w:rPr>
          <w:rFonts w:ascii="仿宋_GB2312" w:eastAsia="仿宋_GB2312" w:cs="仿宋_GB2312"/>
          <w:sz w:val="32"/>
          <w:szCs w:val="32"/>
          <w:shd w:val="clear" w:color="auto" w:fill="FFFFFF"/>
        </w:rPr>
        <w:t>%。项目绩效目标完成情况：幼师工资按时足额发放，员工基本权益得到保障。下一步</w:t>
      </w:r>
      <w:r>
        <w:rPr>
          <w:rFonts w:hint="eastAsia" w:ascii="仿宋_GB2312" w:eastAsia="仿宋_GB2312" w:cs="仿宋_GB2312"/>
          <w:sz w:val="32"/>
          <w:szCs w:val="32"/>
          <w:shd w:val="clear" w:color="auto" w:fill="FFFFFF"/>
        </w:rPr>
        <w:t>计划</w:t>
      </w:r>
      <w:r>
        <w:rPr>
          <w:rFonts w:ascii="仿宋_GB2312" w:eastAsia="仿宋_GB2312" w:cs="仿宋_GB2312"/>
          <w:sz w:val="32"/>
          <w:szCs w:val="32"/>
          <w:shd w:val="clear" w:color="auto" w:fill="FFFFFF"/>
        </w:rPr>
        <w:t>：</w:t>
      </w:r>
      <w:r>
        <w:rPr>
          <w:rFonts w:hint="eastAsia" w:ascii="仿宋_GB2312" w:eastAsia="仿宋_GB2312" w:cs="仿宋_GB2312"/>
          <w:sz w:val="32"/>
          <w:szCs w:val="32"/>
          <w:shd w:val="clear" w:color="auto" w:fill="FFFFFF"/>
        </w:rPr>
        <w:t>继续科学精准编制预算，按预算严格执行</w:t>
      </w:r>
      <w:r>
        <w:rPr>
          <w:rFonts w:ascii="仿宋_GB2312" w:eastAsia="仿宋_GB2312" w:cs="仿宋_GB2312"/>
          <w:sz w:val="32"/>
          <w:szCs w:val="32"/>
          <w:shd w:val="clear" w:color="auto" w:fill="FFFFFF"/>
        </w:rPr>
        <w:t>。</w:t>
      </w:r>
    </w:p>
    <w:p>
      <w:pPr>
        <w:adjustRightInd w:val="0"/>
        <w:snapToGrid w:val="0"/>
        <w:spacing w:line="600" w:lineRule="exact"/>
        <w:ind w:firstLine="640" w:firstLineChars="200"/>
        <w:rPr>
          <w:rFonts w:ascii="仿宋_GB2312" w:eastAsia="仿宋_GB2312" w:cs="仿宋_GB2312"/>
          <w:sz w:val="32"/>
          <w:szCs w:val="32"/>
          <w:shd w:val="clear" w:color="auto" w:fill="FFFFFF"/>
        </w:rPr>
      </w:pPr>
      <w:r>
        <w:rPr>
          <w:rFonts w:ascii="仿宋_GB2312" w:eastAsia="仿宋_GB2312" w:cs="仿宋_GB2312"/>
          <w:sz w:val="32"/>
          <w:szCs w:val="32"/>
          <w:shd w:val="clear" w:color="auto" w:fill="FFFFFF"/>
        </w:rPr>
        <w:t>幼儿保育保教经费项目绩效自评综述：总体完成情况较好，各项考核指标都能按预期目标完成，幼师工资按时足额发放，员工基本权益得到保障。</w:t>
      </w:r>
    </w:p>
    <w:p>
      <w:pPr>
        <w:spacing w:afterAutospacing="1" w:line="578" w:lineRule="exact"/>
        <w:ind w:firstLine="640" w:firstLineChars="200"/>
        <w:rPr>
          <w:rFonts w:ascii="楷体" w:hAnsi="楷体" w:eastAsia="楷体" w:cs="楷体"/>
          <w:bCs/>
          <w:sz w:val="32"/>
          <w:szCs w:val="32"/>
          <w:shd w:val="clear" w:color="auto" w:fill="FFFFFF"/>
        </w:rPr>
      </w:pPr>
      <w:r>
        <w:rPr>
          <w:rFonts w:hint="eastAsia" w:ascii="楷体" w:hAnsi="楷体" w:eastAsia="楷体" w:cs="楷体"/>
          <w:bCs/>
          <w:sz w:val="32"/>
          <w:szCs w:val="32"/>
          <w:shd w:val="clear" w:color="auto" w:fill="FFFFFF"/>
        </w:rPr>
        <w:t>（三）部门评价结果（预算部门填写，部门所属单位不需填写）</w:t>
      </w:r>
    </w:p>
    <w:p>
      <w:pPr>
        <w:spacing w:afterAutospacing="1" w:line="578" w:lineRule="exact"/>
        <w:ind w:firstLine="640" w:firstLineChars="200"/>
        <w:rPr>
          <w:rFonts w:ascii="楷体" w:hAnsi="楷体" w:eastAsia="楷体" w:cs="楷体"/>
          <w:bCs/>
          <w:sz w:val="32"/>
          <w:szCs w:val="32"/>
          <w:shd w:val="clear" w:color="auto" w:fill="FFFFFF"/>
        </w:rPr>
      </w:pPr>
      <w:r>
        <w:rPr>
          <w:rFonts w:hint="eastAsia" w:ascii="楷体" w:hAnsi="楷体" w:eastAsia="楷体" w:cs="楷体"/>
          <w:bCs/>
          <w:sz w:val="32"/>
          <w:szCs w:val="32"/>
          <w:shd w:val="clear" w:color="auto" w:fill="FFFFFF"/>
        </w:rPr>
        <w:t>未开展</w:t>
      </w:r>
    </w:p>
    <w:p>
      <w:pPr>
        <w:spacing w:afterAutospacing="1" w:line="578" w:lineRule="exact"/>
        <w:ind w:firstLine="640" w:firstLineChars="200"/>
        <w:rPr>
          <w:rFonts w:ascii="楷体" w:hAnsi="楷体" w:eastAsia="楷体" w:cs="楷体"/>
          <w:bCs/>
          <w:sz w:val="32"/>
          <w:szCs w:val="32"/>
          <w:shd w:val="clear" w:color="auto" w:fill="FFFFFF"/>
        </w:rPr>
      </w:pPr>
      <w:r>
        <w:rPr>
          <w:rFonts w:hint="eastAsia" w:ascii="楷体" w:hAnsi="楷体" w:eastAsia="楷体" w:cs="楷体"/>
          <w:bCs/>
          <w:sz w:val="32"/>
          <w:szCs w:val="32"/>
          <w:shd w:val="clear" w:color="auto" w:fill="FFFFFF"/>
        </w:rPr>
        <w:t>（四）财政评价结果（如有）。</w:t>
      </w:r>
    </w:p>
    <w:p>
      <w:pPr>
        <w:spacing w:afterAutospacing="1" w:line="578" w:lineRule="exact"/>
        <w:ind w:firstLine="640" w:firstLineChars="200"/>
        <w:rPr>
          <w:rFonts w:ascii="楷体" w:hAnsi="楷体" w:eastAsia="楷体" w:cs="楷体"/>
          <w:bCs/>
          <w:sz w:val="32"/>
          <w:szCs w:val="32"/>
          <w:shd w:val="clear" w:color="auto" w:fill="FFFFFF"/>
        </w:rPr>
      </w:pPr>
      <w:r>
        <w:rPr>
          <w:rFonts w:hint="eastAsia" w:ascii="楷体" w:hAnsi="楷体" w:eastAsia="楷体" w:cs="楷体"/>
          <w:bCs/>
          <w:sz w:val="32"/>
          <w:szCs w:val="32"/>
          <w:shd w:val="clear" w:color="auto" w:fill="FFFFFF"/>
        </w:rPr>
        <w:t>未开展</w:t>
      </w:r>
    </w:p>
    <w:p>
      <w:pPr>
        <w:spacing w:afterAutospacing="1"/>
        <w:ind w:firstLine="640" w:firstLineChars="200"/>
        <w:rPr>
          <w:rFonts w:ascii="黑体" w:hAnsi="宋体" w:eastAsia="黑体" w:cs="黑体"/>
          <w:bCs/>
          <w:sz w:val="32"/>
          <w:szCs w:val="32"/>
          <w:shd w:val="clear" w:color="auto" w:fill="FFFFFF"/>
        </w:rPr>
      </w:pPr>
      <w:r>
        <w:rPr>
          <w:rFonts w:hint="eastAsia" w:ascii="黑体" w:hAnsi="宋体" w:eastAsia="黑体" w:cs="黑体"/>
          <w:bCs/>
          <w:sz w:val="32"/>
          <w:szCs w:val="32"/>
          <w:shd w:val="clear" w:color="auto" w:fill="FFFFFF"/>
        </w:rPr>
        <w:t>十一、其他重要事项情况说明。</w:t>
      </w:r>
    </w:p>
    <w:p>
      <w:pPr>
        <w:spacing w:afterAutospacing="1"/>
        <w:ind w:firstLine="640" w:firstLineChars="200"/>
        <w:rPr>
          <w:rFonts w:ascii="楷体" w:hAnsi="楷体" w:eastAsia="楷体" w:cs="楷体"/>
          <w:bCs/>
          <w:sz w:val="32"/>
          <w:szCs w:val="32"/>
          <w:shd w:val="clear" w:color="auto" w:fill="FFFFFF"/>
        </w:rPr>
      </w:pPr>
      <w:bookmarkStart w:id="95" w:name="_Toc23598_WPSOffice_Level2"/>
      <w:bookmarkStart w:id="96" w:name="_Toc15262_WPSOffice_Level2"/>
      <w:bookmarkStart w:id="97" w:name="_Toc32639_WPSOffice_Level2"/>
      <w:bookmarkStart w:id="98" w:name="_Toc18325_WPSOffice_Level2"/>
      <w:bookmarkStart w:id="99" w:name="_Toc15565_WPSOffice_Level2"/>
      <w:bookmarkStart w:id="100" w:name="_Toc5978_WPSOffice_Level2"/>
      <w:r>
        <w:rPr>
          <w:rFonts w:hint="eastAsia" w:ascii="楷体" w:hAnsi="楷体" w:eastAsia="楷体" w:cs="楷体"/>
          <w:bCs/>
          <w:sz w:val="32"/>
          <w:szCs w:val="32"/>
          <w:shd w:val="clear" w:color="auto" w:fill="FFFFFF"/>
        </w:rPr>
        <w:t>（一）机关运行经费支出情况。</w:t>
      </w:r>
      <w:bookmarkEnd w:id="95"/>
      <w:bookmarkEnd w:id="96"/>
      <w:bookmarkEnd w:id="97"/>
      <w:bookmarkEnd w:id="98"/>
      <w:bookmarkEnd w:id="99"/>
      <w:bookmarkEnd w:id="100"/>
    </w:p>
    <w:p>
      <w:pPr>
        <w:autoSpaceDE w:val="0"/>
        <w:adjustRightInd w:val="0"/>
        <w:snapToGrid w:val="0"/>
        <w:spacing w:line="520" w:lineRule="exact"/>
        <w:ind w:firstLine="640" w:firstLineChars="200"/>
        <w:rPr>
          <w:rFonts w:hint="eastAsia" w:ascii="仿宋_GB2312" w:hAnsi="ˎ̥" w:eastAsia="仿宋_GB2312" w:cs="仿宋_GB2312"/>
          <w:sz w:val="32"/>
          <w:szCs w:val="32"/>
        </w:rPr>
      </w:pPr>
      <w:r>
        <w:rPr>
          <w:rFonts w:ascii="仿宋_GB2312" w:hAnsi="ˎ̥" w:eastAsia="仿宋_GB2312" w:cs="仿宋_GB2312"/>
          <w:sz w:val="32"/>
          <w:szCs w:val="32"/>
        </w:rPr>
        <w:t>我单位为事业单位，无机关运行经费支出。</w:t>
      </w:r>
    </w:p>
    <w:p>
      <w:pPr>
        <w:spacing w:afterAutospacing="1"/>
        <w:ind w:firstLine="640" w:firstLineChars="200"/>
        <w:rPr>
          <w:rFonts w:hint="eastAsia" w:ascii="仿宋_GB2312" w:hAnsi="ˎ̥" w:eastAsia="仿宋_GB2312" w:cs="仿宋_GB2312"/>
          <w:sz w:val="32"/>
          <w:szCs w:val="32"/>
          <w:shd w:val="clear" w:color="auto" w:fill="FFFFFF"/>
        </w:rPr>
      </w:pPr>
      <w:r>
        <w:rPr>
          <w:rFonts w:hint="eastAsia" w:ascii="仿宋_GB2312" w:hAnsi="ˎ̥" w:eastAsia="仿宋_GB2312" w:cs="仿宋_GB2312"/>
          <w:sz w:val="32"/>
          <w:szCs w:val="32"/>
          <w:shd w:val="clear" w:color="auto" w:fill="FFFFFF"/>
        </w:rPr>
        <w:t>（注：机关运行经费预算数字可取自部门决算报表财决01-1表《财政拨款收入支出决算总表》，年初预算数-一般公共预算财政拨款-公用经费，注意部门汇总公开决算时，因事业单位没有机关运行经费支出，故部门汇总的机关运行经费预算数应为部门所属的各行政单位或参公单位的汇总数；决算数字可取自2022年度部门决算报表F03表《机构运行信息表》“机关运行经费”栏。）</w:t>
      </w:r>
    </w:p>
    <w:p>
      <w:pPr>
        <w:spacing w:afterAutospacing="1"/>
        <w:ind w:firstLine="640" w:firstLineChars="200"/>
        <w:rPr>
          <w:rFonts w:ascii="楷体" w:hAnsi="楷体" w:eastAsia="楷体" w:cs="楷体"/>
          <w:bCs/>
          <w:sz w:val="32"/>
          <w:szCs w:val="32"/>
          <w:shd w:val="clear" w:color="auto" w:fill="FFFFFF"/>
        </w:rPr>
      </w:pPr>
      <w:bookmarkStart w:id="101" w:name="_Toc32689_WPSOffice_Level2"/>
      <w:bookmarkStart w:id="102" w:name="_Toc30383_WPSOffice_Level2"/>
      <w:bookmarkStart w:id="103" w:name="_Toc13084_WPSOffice_Level2"/>
      <w:bookmarkStart w:id="104" w:name="_Toc25333_WPSOffice_Level2"/>
      <w:bookmarkStart w:id="105" w:name="_Toc3131_WPSOffice_Level2"/>
      <w:bookmarkStart w:id="106" w:name="_Toc23966_WPSOffice_Level2"/>
      <w:r>
        <w:rPr>
          <w:rFonts w:hint="eastAsia" w:ascii="楷体" w:hAnsi="楷体" w:eastAsia="楷体" w:cs="楷体"/>
          <w:bCs/>
          <w:sz w:val="32"/>
          <w:szCs w:val="32"/>
          <w:shd w:val="clear" w:color="auto" w:fill="FFFFFF"/>
        </w:rPr>
        <w:t>（二）政府采购支出情况。</w:t>
      </w:r>
      <w:bookmarkEnd w:id="101"/>
      <w:bookmarkEnd w:id="102"/>
      <w:bookmarkEnd w:id="103"/>
      <w:bookmarkEnd w:id="104"/>
      <w:bookmarkEnd w:id="105"/>
      <w:bookmarkEnd w:id="106"/>
    </w:p>
    <w:p>
      <w:pPr>
        <w:spacing w:after="100" w:afterAutospacing="1"/>
        <w:ind w:firstLine="640" w:firstLineChars="200"/>
        <w:rPr>
          <w:rFonts w:hint="eastAsia" w:ascii="仿宋_GB2312" w:hAnsi="ˎ̥" w:eastAsia="仿宋_GB2312" w:cs="仿宋_GB2312"/>
          <w:sz w:val="32"/>
          <w:szCs w:val="32"/>
          <w:shd w:val="clear" w:color="auto" w:fill="FFFFFF"/>
        </w:rPr>
      </w:pPr>
      <w:r>
        <w:rPr>
          <w:rFonts w:ascii="仿宋_GB2312" w:hAnsi="ˎ̥" w:eastAsia="仿宋_GB2312" w:cs="仿宋_GB2312"/>
          <w:sz w:val="32"/>
          <w:szCs w:val="32"/>
          <w:shd w:val="clear" w:color="auto" w:fill="FFFFFF"/>
        </w:rPr>
        <w:t>202</w:t>
      </w:r>
      <w:r>
        <w:rPr>
          <w:rFonts w:hint="eastAsia" w:ascii="仿宋_GB2312" w:hAnsi="ˎ̥" w:eastAsia="仿宋_GB2312" w:cs="仿宋_GB2312"/>
          <w:sz w:val="32"/>
          <w:szCs w:val="32"/>
          <w:shd w:val="clear" w:color="auto" w:fill="FFFFFF"/>
        </w:rPr>
        <w:t>2</w:t>
      </w:r>
      <w:r>
        <w:rPr>
          <w:rFonts w:ascii="仿宋_GB2312" w:hAnsi="ˎ̥" w:eastAsia="仿宋_GB2312" w:cs="仿宋_GB2312"/>
          <w:sz w:val="32"/>
          <w:szCs w:val="32"/>
          <w:shd w:val="clear" w:color="auto" w:fill="FFFFFF"/>
        </w:rPr>
        <w:t>年度</w:t>
      </w:r>
      <w:r>
        <w:rPr>
          <w:rFonts w:ascii="仿宋_GB2312" w:hAnsi="ˎ̥" w:eastAsia="仿宋_GB2312" w:cs="仿宋_GB2312"/>
          <w:sz w:val="32"/>
          <w:szCs w:val="32"/>
        </w:rPr>
        <w:t>定安县龙河镇中心幼儿园政府</w:t>
      </w:r>
      <w:r>
        <w:rPr>
          <w:rFonts w:hint="eastAsia" w:ascii="仿宋_GB2312" w:hAnsi="ˎ̥" w:eastAsia="仿宋_GB2312" w:cs="仿宋_GB2312"/>
          <w:sz w:val="32"/>
          <w:szCs w:val="32"/>
        </w:rPr>
        <w:t>采购</w:t>
      </w:r>
      <w:r>
        <w:rPr>
          <w:rFonts w:ascii="仿宋_GB2312" w:hAnsi="ˎ̥" w:eastAsia="仿宋_GB2312" w:cs="仿宋_GB2312"/>
          <w:sz w:val="32"/>
          <w:szCs w:val="32"/>
          <w:shd w:val="clear" w:color="auto" w:fill="FFFFFF"/>
        </w:rPr>
        <w:t>支出总额</w:t>
      </w:r>
      <w:r>
        <w:rPr>
          <w:rFonts w:hint="eastAsia" w:ascii="仿宋_GB2312" w:hAnsi="ˎ̥" w:eastAsia="仿宋_GB2312" w:cs="仿宋_GB2312"/>
          <w:sz w:val="32"/>
          <w:szCs w:val="32"/>
          <w:shd w:val="clear" w:color="auto" w:fill="FFFFFF"/>
        </w:rPr>
        <w:t>0</w:t>
      </w:r>
      <w:r>
        <w:rPr>
          <w:rFonts w:ascii="仿宋_GB2312" w:hAnsi="ˎ̥" w:eastAsia="仿宋_GB2312" w:cs="仿宋_GB2312"/>
          <w:sz w:val="32"/>
          <w:szCs w:val="32"/>
          <w:shd w:val="clear" w:color="auto" w:fill="FFFFFF"/>
        </w:rPr>
        <w:t>万元，其中：政府采购货物支出</w:t>
      </w:r>
      <w:r>
        <w:rPr>
          <w:rFonts w:hint="eastAsia" w:ascii="仿宋_GB2312" w:hAnsi="ˎ̥" w:eastAsia="仿宋_GB2312" w:cs="仿宋_GB2312"/>
          <w:sz w:val="32"/>
          <w:szCs w:val="32"/>
          <w:shd w:val="clear" w:color="auto" w:fill="FFFFFF"/>
        </w:rPr>
        <w:t>0</w:t>
      </w:r>
      <w:r>
        <w:rPr>
          <w:rFonts w:ascii="仿宋_GB2312" w:hAnsi="ˎ̥" w:eastAsia="仿宋_GB2312" w:cs="仿宋_GB2312"/>
          <w:sz w:val="32"/>
          <w:szCs w:val="32"/>
          <w:shd w:val="clear" w:color="auto" w:fill="FFFFFF"/>
        </w:rPr>
        <w:t>万元、政府采购工程支出</w:t>
      </w:r>
      <w:r>
        <w:rPr>
          <w:rFonts w:hint="eastAsia" w:ascii="仿宋_GB2312" w:hAnsi="ˎ̥" w:eastAsia="仿宋_GB2312" w:cs="仿宋_GB2312"/>
          <w:sz w:val="32"/>
          <w:szCs w:val="32"/>
          <w:shd w:val="clear" w:color="auto" w:fill="FFFFFF"/>
        </w:rPr>
        <w:t>0</w:t>
      </w:r>
      <w:r>
        <w:rPr>
          <w:rFonts w:ascii="仿宋_GB2312" w:hAnsi="ˎ̥" w:eastAsia="仿宋_GB2312" w:cs="仿宋_GB2312"/>
          <w:sz w:val="32"/>
          <w:szCs w:val="32"/>
          <w:shd w:val="clear" w:color="auto" w:fill="FFFFFF"/>
        </w:rPr>
        <w:t>万元、政府采购服务支出</w:t>
      </w:r>
      <w:r>
        <w:rPr>
          <w:rFonts w:hint="eastAsia" w:ascii="仿宋_GB2312" w:hAnsi="ˎ̥" w:eastAsia="仿宋_GB2312" w:cs="仿宋_GB2312"/>
          <w:sz w:val="32"/>
          <w:szCs w:val="32"/>
          <w:shd w:val="clear" w:color="auto" w:fill="FFFFFF"/>
        </w:rPr>
        <w:t>0</w:t>
      </w:r>
      <w:r>
        <w:rPr>
          <w:rFonts w:ascii="仿宋_GB2312" w:hAnsi="ˎ̥" w:eastAsia="仿宋_GB2312" w:cs="仿宋_GB2312"/>
          <w:sz w:val="32"/>
          <w:szCs w:val="32"/>
          <w:shd w:val="clear" w:color="auto" w:fill="FFFFFF"/>
        </w:rPr>
        <w:t>万元。授予中小企业合同金额</w:t>
      </w:r>
      <w:r>
        <w:rPr>
          <w:rFonts w:hint="eastAsia" w:ascii="仿宋_GB2312" w:hAnsi="ˎ̥" w:eastAsia="仿宋_GB2312" w:cs="仿宋_GB2312"/>
          <w:sz w:val="32"/>
          <w:szCs w:val="32"/>
          <w:shd w:val="clear" w:color="auto" w:fill="FFFFFF"/>
        </w:rPr>
        <w:t>0</w:t>
      </w:r>
      <w:r>
        <w:rPr>
          <w:rFonts w:ascii="仿宋_GB2312" w:hAnsi="ˎ̥" w:eastAsia="仿宋_GB2312" w:cs="仿宋_GB2312"/>
          <w:sz w:val="32"/>
          <w:szCs w:val="32"/>
          <w:shd w:val="clear" w:color="auto" w:fill="FFFFFF"/>
        </w:rPr>
        <w:t>万元。</w:t>
      </w:r>
    </w:p>
    <w:p>
      <w:pPr>
        <w:spacing w:afterAutospacing="1"/>
        <w:ind w:firstLine="640" w:firstLineChars="200"/>
        <w:rPr>
          <w:rFonts w:ascii="楷体" w:hAnsi="楷体" w:eastAsia="楷体" w:cs="楷体"/>
          <w:bCs/>
          <w:sz w:val="32"/>
          <w:szCs w:val="32"/>
          <w:shd w:val="clear" w:color="auto" w:fill="FFFFFF"/>
        </w:rPr>
      </w:pPr>
    </w:p>
    <w:p>
      <w:pPr>
        <w:spacing w:afterAutospacing="1"/>
        <w:ind w:firstLine="640" w:firstLineChars="200"/>
        <w:rPr>
          <w:rFonts w:hint="eastAsia" w:ascii="仿宋_GB2312" w:hAnsi="ˎ̥" w:eastAsia="仿宋_GB2312" w:cs="仿宋_GB2312"/>
          <w:sz w:val="32"/>
          <w:szCs w:val="32"/>
          <w:shd w:val="clear" w:color="auto" w:fill="FFFFFF"/>
        </w:rPr>
      </w:pPr>
      <w:r>
        <w:rPr>
          <w:rFonts w:hint="eastAsia" w:ascii="仿宋_GB2312" w:hAnsi="ˎ̥" w:eastAsia="仿宋_GB2312" w:cs="仿宋_GB2312"/>
          <w:sz w:val="32"/>
          <w:szCs w:val="32"/>
          <w:shd w:val="clear" w:color="auto" w:fill="FFFFFF"/>
        </w:rPr>
        <w:t>（注：上述政府采购支出相关数字取自2022年度部门决算报表F03表《机构运行信息表》，授予中小企业和小微企业合同金额由各部门查阅本部门相关资料填写。）</w:t>
      </w:r>
    </w:p>
    <w:p>
      <w:pPr>
        <w:spacing w:afterAutospacing="1"/>
        <w:ind w:firstLine="640" w:firstLineChars="200"/>
        <w:rPr>
          <w:rFonts w:ascii="楷体" w:hAnsi="楷体" w:eastAsia="楷体" w:cs="楷体"/>
          <w:bCs/>
          <w:sz w:val="32"/>
          <w:szCs w:val="32"/>
          <w:shd w:val="clear" w:color="auto" w:fill="FFFFFF"/>
        </w:rPr>
      </w:pPr>
      <w:bookmarkStart w:id="107" w:name="_Toc29584_WPSOffice_Level2"/>
      <w:bookmarkStart w:id="108" w:name="_Toc15129_WPSOffice_Level2"/>
      <w:bookmarkStart w:id="109" w:name="_Toc10902_WPSOffice_Level2"/>
      <w:bookmarkStart w:id="110" w:name="_Toc19989_WPSOffice_Level2"/>
      <w:bookmarkStart w:id="111" w:name="_Toc527_WPSOffice_Level2"/>
      <w:bookmarkStart w:id="112" w:name="_Toc6016_WPSOffice_Level2"/>
      <w:r>
        <w:rPr>
          <w:rFonts w:hint="eastAsia" w:ascii="楷体" w:hAnsi="楷体" w:eastAsia="楷体" w:cs="楷体"/>
          <w:bCs/>
          <w:sz w:val="32"/>
          <w:szCs w:val="32"/>
          <w:shd w:val="clear" w:color="auto" w:fill="FFFFFF"/>
        </w:rPr>
        <w:t>（三）国有资产占用情况。</w:t>
      </w:r>
      <w:bookmarkEnd w:id="107"/>
      <w:bookmarkEnd w:id="108"/>
      <w:bookmarkEnd w:id="109"/>
      <w:bookmarkEnd w:id="110"/>
      <w:bookmarkEnd w:id="111"/>
      <w:bookmarkEnd w:id="112"/>
    </w:p>
    <w:p>
      <w:pPr>
        <w:autoSpaceDE w:val="0"/>
        <w:adjustRightInd w:val="0"/>
        <w:snapToGrid w:val="0"/>
        <w:spacing w:line="520" w:lineRule="exact"/>
        <w:ind w:firstLine="640" w:firstLineChars="200"/>
        <w:rPr>
          <w:rFonts w:hint="eastAsia" w:ascii="仿宋_GB2312" w:hAnsi="ˎ̥" w:eastAsia="仿宋_GB2312" w:cs="仿宋_GB2312"/>
          <w:sz w:val="32"/>
          <w:szCs w:val="32"/>
        </w:rPr>
      </w:pPr>
      <w:r>
        <w:rPr>
          <w:rFonts w:ascii="仿宋_GB2312" w:hAnsi="ˎ̥" w:eastAsia="仿宋_GB2312" w:cs="仿宋_GB2312"/>
          <w:sz w:val="32"/>
          <w:szCs w:val="32"/>
          <w:shd w:val="clear" w:color="auto" w:fill="FFFFFF"/>
        </w:rPr>
        <w:t>截至202</w:t>
      </w:r>
      <w:r>
        <w:rPr>
          <w:rFonts w:hint="eastAsia" w:ascii="仿宋_GB2312" w:hAnsi="ˎ̥" w:eastAsia="仿宋_GB2312" w:cs="仿宋_GB2312"/>
          <w:sz w:val="32"/>
          <w:szCs w:val="32"/>
          <w:shd w:val="clear" w:color="auto" w:fill="FFFFFF"/>
        </w:rPr>
        <w:t>2</w:t>
      </w:r>
      <w:r>
        <w:rPr>
          <w:rFonts w:ascii="仿宋_GB2312" w:hAnsi="ˎ̥" w:eastAsia="仿宋_GB2312" w:cs="仿宋_GB2312"/>
          <w:sz w:val="32"/>
          <w:szCs w:val="32"/>
          <w:shd w:val="clear" w:color="auto" w:fill="FFFFFF"/>
        </w:rPr>
        <w:t>年12月31日，</w:t>
      </w:r>
      <w:r>
        <w:rPr>
          <w:rFonts w:ascii="仿宋_GB2312" w:hAnsi="ˎ̥" w:eastAsia="仿宋_GB2312" w:cs="仿宋_GB2312"/>
          <w:sz w:val="32"/>
          <w:szCs w:val="32"/>
        </w:rPr>
        <w:t>本部门占用房屋面积0平方米，其中：办公用房0平方米，业务用房0平方米，其他（不含构筑物）0平方米。</w:t>
      </w:r>
    </w:p>
    <w:p>
      <w:pPr>
        <w:autoSpaceDE w:val="0"/>
        <w:adjustRightInd w:val="0"/>
        <w:snapToGrid w:val="0"/>
        <w:spacing w:line="520" w:lineRule="exact"/>
        <w:ind w:firstLine="640" w:firstLineChars="200"/>
        <w:rPr>
          <w:rFonts w:hint="eastAsia" w:ascii="仿宋_GB2312" w:hAnsi="ˎ̥" w:eastAsia="仿宋_GB2312" w:cs="仿宋_GB2312"/>
          <w:sz w:val="32"/>
          <w:szCs w:val="32"/>
        </w:rPr>
      </w:pPr>
      <w:r>
        <w:rPr>
          <w:rFonts w:ascii="仿宋_GB2312" w:hAnsi="ˎ̥" w:eastAsia="仿宋_GB2312" w:cs="仿宋_GB2312"/>
          <w:sz w:val="32"/>
          <w:szCs w:val="32"/>
        </w:rPr>
        <w:t>本部门共有车辆0辆</w:t>
      </w:r>
    </w:p>
    <w:p>
      <w:pPr>
        <w:autoSpaceDE w:val="0"/>
        <w:adjustRightInd w:val="0"/>
        <w:snapToGrid w:val="0"/>
        <w:spacing w:line="520" w:lineRule="exact"/>
        <w:ind w:firstLine="640" w:firstLineChars="200"/>
        <w:rPr>
          <w:rFonts w:hint="eastAsia" w:ascii="仿宋_GB2312" w:hAnsi="ˎ̥" w:eastAsia="仿宋_GB2312" w:cs="仿宋_GB2312"/>
          <w:sz w:val="32"/>
          <w:szCs w:val="32"/>
        </w:rPr>
      </w:pPr>
      <w:r>
        <w:rPr>
          <w:rFonts w:ascii="仿宋_GB2312" w:hAnsi="ˎ̥" w:eastAsia="仿宋_GB2312" w:cs="仿宋_GB2312"/>
          <w:sz w:val="32"/>
          <w:szCs w:val="32"/>
        </w:rPr>
        <w:t>单位价值50万元（含）以上通用设备0台（套），单价100万元（含）以上专用设备0台（套）。</w:t>
      </w:r>
    </w:p>
    <w:p>
      <w:pPr>
        <w:spacing w:afterAutospacing="1" w:line="578" w:lineRule="exact"/>
        <w:ind w:firstLine="640" w:firstLineChars="200"/>
        <w:rPr>
          <w:rFonts w:hint="eastAsia" w:ascii="仿宋_GB2312" w:hAnsi="ˎ̥" w:eastAsia="仿宋_GB2312" w:cs="仿宋_GB2312"/>
          <w:sz w:val="32"/>
          <w:szCs w:val="32"/>
          <w:shd w:val="clear" w:color="auto" w:fill="FFFFFF"/>
        </w:rPr>
      </w:pPr>
      <w:r>
        <w:rPr>
          <w:rFonts w:ascii="仿宋_GB2312" w:hAnsi="ˎ̥" w:eastAsia="仿宋_GB2312" w:cs="仿宋_GB2312"/>
          <w:sz w:val="32"/>
          <w:szCs w:val="32"/>
        </w:rPr>
        <w:t>年末在建工程0万元。</w:t>
      </w:r>
      <w:r>
        <w:rPr>
          <w:rFonts w:hint="eastAsia" w:ascii="仿宋_GB2312" w:hAnsi="ˎ̥" w:eastAsia="仿宋_GB2312" w:cs="仿宋_GB2312"/>
          <w:sz w:val="32"/>
          <w:szCs w:val="32"/>
          <w:shd w:val="clear" w:color="auto" w:fill="FFFFFF"/>
        </w:rPr>
        <w:t>（注：上述国有资产占用情况相关数字取自2022年度部门决算F01表《预算支出相关信息表》、F03表《机构运行信息表》。）</w:t>
      </w:r>
    </w:p>
    <w:p>
      <w:pPr>
        <w:spacing w:afterAutospacing="1"/>
        <w:jc w:val="both"/>
        <w:rPr>
          <w:rFonts w:hint="eastAsia" w:ascii="黑体" w:hAnsi="ˎ̥" w:eastAsia="黑体" w:cs="黑体"/>
          <w:sz w:val="32"/>
          <w:szCs w:val="32"/>
          <w:shd w:val="clear" w:color="auto" w:fill="FFFFFF"/>
        </w:rPr>
      </w:pPr>
      <w:bookmarkStart w:id="113" w:name="_Toc8874_WPSOffice_Level1"/>
      <w:bookmarkStart w:id="114" w:name="_Toc11039_WPSOffice_Level1"/>
      <w:bookmarkStart w:id="115" w:name="_Toc17580_WPSOffice_Level1"/>
      <w:bookmarkStart w:id="116" w:name="_Toc4398_WPSOffice_Level1"/>
      <w:bookmarkStart w:id="117" w:name="_Toc8808_WPSOffice_Level1"/>
      <w:bookmarkStart w:id="118" w:name="_Toc15425_WPSOffice_Level1"/>
    </w:p>
    <w:p>
      <w:pPr>
        <w:spacing w:afterAutospacing="1"/>
        <w:jc w:val="center"/>
        <w:rPr>
          <w:rFonts w:hint="eastAsia" w:ascii="黑体" w:hAnsi="ˎ̥" w:eastAsia="黑体" w:cs="黑体"/>
          <w:sz w:val="32"/>
          <w:szCs w:val="32"/>
          <w:shd w:val="clear" w:color="auto" w:fill="FFFFFF"/>
        </w:rPr>
      </w:pPr>
      <w:r>
        <w:rPr>
          <w:rFonts w:hint="eastAsia" w:ascii="黑体" w:hAnsi="ˎ̥" w:eastAsia="黑体" w:cs="黑体"/>
          <w:sz w:val="32"/>
          <w:szCs w:val="32"/>
          <w:shd w:val="clear" w:color="auto" w:fill="FFFFFF"/>
        </w:rPr>
        <w:t>第四部分名词解释</w:t>
      </w:r>
      <w:bookmarkEnd w:id="113"/>
      <w:bookmarkEnd w:id="114"/>
      <w:bookmarkEnd w:id="115"/>
      <w:bookmarkEnd w:id="116"/>
      <w:bookmarkEnd w:id="117"/>
      <w:bookmarkEnd w:id="118"/>
    </w:p>
    <w:p>
      <w:pPr>
        <w:spacing w:afterAutospacing="1"/>
        <w:jc w:val="center"/>
        <w:rPr>
          <w:rFonts w:hint="eastAsia" w:ascii="黑体" w:hAnsi="ˎ̥" w:eastAsia="黑体" w:cs="黑体"/>
          <w:sz w:val="32"/>
          <w:szCs w:val="32"/>
          <w:shd w:val="clear" w:color="auto" w:fill="FFFFFF"/>
        </w:rPr>
      </w:pPr>
    </w:p>
    <w:p>
      <w:pPr>
        <w:numPr>
          <w:ilvl w:val="0"/>
          <w:numId w:val="5"/>
        </w:numPr>
        <w:spacing w:afterAutospacing="1"/>
        <w:ind w:left="0" w:firstLine="640" w:firstLineChars="200"/>
        <w:rPr>
          <w:rFonts w:hint="eastAsia" w:ascii="仿宋_GB2312" w:hAnsi="ˎ̥" w:eastAsia="仿宋_GB2312" w:cs="仿宋_GB2312"/>
          <w:sz w:val="32"/>
          <w:szCs w:val="32"/>
          <w:shd w:val="clear" w:color="auto" w:fill="FFFFFF"/>
        </w:rPr>
      </w:pPr>
      <w:r>
        <w:rPr>
          <w:rFonts w:hint="eastAsia" w:ascii="仿宋_GB2312" w:hAnsi="ˎ̥" w:eastAsia="仿宋_GB2312" w:cs="仿宋_GB2312"/>
          <w:sz w:val="32"/>
          <w:szCs w:val="32"/>
          <w:shd w:val="clear" w:color="auto" w:fill="FFFFFF"/>
        </w:rPr>
        <w:t>财政拨款收入：指同级政府财政部门当年拨付的各类财政拨款。</w:t>
      </w:r>
    </w:p>
    <w:p>
      <w:pPr>
        <w:spacing w:afterAutospacing="1"/>
        <w:ind w:firstLine="640" w:firstLineChars="200"/>
        <w:rPr>
          <w:rFonts w:hint="eastAsia" w:ascii="仿宋_GB2312" w:hAnsi="ˎ̥" w:eastAsia="仿宋_GB2312" w:cs="仿宋_GB2312"/>
          <w:sz w:val="32"/>
          <w:szCs w:val="32"/>
          <w:shd w:val="clear" w:color="auto" w:fill="FFFFFF"/>
        </w:rPr>
      </w:pPr>
      <w:r>
        <w:rPr>
          <w:rFonts w:hint="eastAsia" w:ascii="仿宋_GB2312" w:hAnsi="ˎ̥" w:eastAsia="仿宋_GB2312" w:cs="仿宋_GB2312"/>
          <w:sz w:val="32"/>
          <w:szCs w:val="32"/>
          <w:shd w:val="clear" w:color="auto" w:fill="FFFFFF"/>
        </w:rPr>
        <w:t>二、上级补助收入：指事业单位从主管部门和上级单位取得的非财政补助收入。</w:t>
      </w:r>
    </w:p>
    <w:p>
      <w:pPr>
        <w:spacing w:afterAutospacing="1"/>
        <w:ind w:firstLine="640" w:firstLineChars="200"/>
        <w:rPr>
          <w:rFonts w:hint="eastAsia" w:ascii="仿宋_GB2312" w:hAnsi="ˎ̥" w:eastAsia="仿宋_GB2312" w:cs="仿宋_GB2312"/>
          <w:sz w:val="32"/>
          <w:szCs w:val="32"/>
          <w:shd w:val="clear" w:color="auto" w:fill="FFFFFF"/>
        </w:rPr>
      </w:pPr>
      <w:r>
        <w:rPr>
          <w:rFonts w:hint="eastAsia" w:ascii="仿宋_GB2312" w:hAnsi="ˎ̥" w:eastAsia="仿宋_GB2312" w:cs="仿宋_GB2312"/>
          <w:sz w:val="32"/>
          <w:szCs w:val="32"/>
          <w:shd w:val="clear" w:color="auto" w:fill="FFFFFF"/>
        </w:rPr>
        <w:t>三、事业收入：指事业单位开展专业业务活动及辅助活动取得的收入。</w:t>
      </w:r>
    </w:p>
    <w:p>
      <w:pPr>
        <w:spacing w:afterAutospacing="1"/>
        <w:ind w:firstLine="640" w:firstLineChars="200"/>
        <w:rPr>
          <w:rFonts w:hint="eastAsia" w:ascii="仿宋_GB2312" w:hAnsi="ˎ̥" w:eastAsia="仿宋_GB2312" w:cs="仿宋_GB2312"/>
          <w:sz w:val="32"/>
          <w:szCs w:val="32"/>
          <w:shd w:val="clear" w:color="auto" w:fill="FFFFFF"/>
        </w:rPr>
      </w:pPr>
      <w:r>
        <w:rPr>
          <w:rFonts w:hint="eastAsia" w:ascii="仿宋_GB2312" w:hAnsi="ˎ̥" w:eastAsia="仿宋_GB2312" w:cs="仿宋_GB2312"/>
          <w:sz w:val="32"/>
          <w:szCs w:val="32"/>
          <w:shd w:val="clear" w:color="auto" w:fill="FFFFFF"/>
        </w:rPr>
        <w:t>四、经营收入：指事业单位在专业业务活动及其辅助活动之外开展非独立核算经营活动取得的收入。</w:t>
      </w:r>
    </w:p>
    <w:p>
      <w:pPr>
        <w:spacing w:afterAutospacing="1"/>
        <w:ind w:firstLine="640" w:firstLineChars="200"/>
        <w:rPr>
          <w:rFonts w:hint="eastAsia" w:ascii="仿宋_GB2312" w:hAnsi="ˎ̥" w:eastAsia="仿宋_GB2312" w:cs="仿宋_GB2312"/>
          <w:sz w:val="32"/>
          <w:szCs w:val="32"/>
          <w:shd w:val="clear" w:color="auto" w:fill="FFFFFF"/>
        </w:rPr>
      </w:pPr>
      <w:r>
        <w:rPr>
          <w:rFonts w:hint="eastAsia" w:ascii="仿宋_GB2312" w:hAnsi="ˎ̥" w:eastAsia="仿宋_GB2312" w:cs="仿宋_GB2312"/>
          <w:sz w:val="32"/>
          <w:szCs w:val="32"/>
          <w:shd w:val="clear" w:color="auto" w:fill="FFFFFF"/>
        </w:rPr>
        <w:t>五、附属单位上缴收入：指事业单位取得附属独立核算单位根据有关规定上缴的收入。</w:t>
      </w:r>
    </w:p>
    <w:p>
      <w:pPr>
        <w:spacing w:afterAutospacing="1"/>
        <w:ind w:firstLine="640" w:firstLineChars="200"/>
        <w:rPr>
          <w:rFonts w:hint="eastAsia" w:ascii="仿宋_GB2312" w:hAnsi="ˎ̥" w:eastAsia="仿宋_GB2312" w:cs="仿宋_GB2312"/>
          <w:sz w:val="32"/>
          <w:szCs w:val="32"/>
          <w:shd w:val="clear" w:color="auto" w:fill="FFFFFF"/>
        </w:rPr>
      </w:pPr>
      <w:r>
        <w:rPr>
          <w:rFonts w:hint="eastAsia" w:ascii="仿宋_GB2312" w:hAnsi="ˎ̥" w:eastAsia="仿宋_GB2312" w:cs="仿宋_GB2312"/>
          <w:sz w:val="32"/>
          <w:szCs w:val="32"/>
          <w:shd w:val="clear" w:color="auto" w:fill="FFFFFF"/>
        </w:rPr>
        <w:t>六、其他收入：指除上述“财政拨款收入”“事业收入”“上级补助收入”“经营收入”“附属单位上缴收入”等以外的收入。</w:t>
      </w:r>
    </w:p>
    <w:p>
      <w:pPr>
        <w:spacing w:afterAutospacing="1"/>
        <w:ind w:firstLine="640" w:firstLineChars="200"/>
        <w:rPr>
          <w:rFonts w:hint="eastAsia" w:ascii="仿宋_GB2312" w:hAnsi="ˎ̥" w:eastAsia="仿宋_GB2312" w:cs="仿宋_GB2312"/>
          <w:sz w:val="32"/>
          <w:szCs w:val="32"/>
          <w:shd w:val="clear" w:color="auto" w:fill="FFFFFF"/>
        </w:rPr>
      </w:pPr>
      <w:r>
        <w:rPr>
          <w:rFonts w:hint="eastAsia" w:ascii="仿宋_GB2312" w:hAnsi="ˎ̥" w:eastAsia="仿宋_GB2312" w:cs="仿宋_GB2312"/>
          <w:sz w:val="32"/>
          <w:szCs w:val="32"/>
          <w:shd w:val="clear" w:color="auto" w:fill="FFFFFF"/>
        </w:rPr>
        <w:t>七、使用非财政拨款结余：指事业单位在当年的“财政拨款收入”“事业收入”“经营收入”“其他收入”等不足以安排当年支出的情况下，使用非同级财政拨款结余资金弥补本年度收支缺口。</w:t>
      </w:r>
    </w:p>
    <w:p>
      <w:pPr>
        <w:spacing w:afterAutospacing="1"/>
        <w:ind w:firstLine="640" w:firstLineChars="200"/>
        <w:rPr>
          <w:rFonts w:hint="eastAsia" w:ascii="仿宋_GB2312" w:hAnsi="ˎ̥" w:eastAsia="仿宋_GB2312" w:cs="仿宋_GB2312"/>
          <w:sz w:val="32"/>
          <w:szCs w:val="32"/>
          <w:shd w:val="clear" w:color="auto" w:fill="FFFFFF"/>
        </w:rPr>
      </w:pPr>
      <w:r>
        <w:rPr>
          <w:rFonts w:hint="eastAsia" w:ascii="仿宋_GB2312" w:hAnsi="ˎ̥" w:eastAsia="仿宋_GB2312" w:cs="仿宋_GB2312"/>
          <w:sz w:val="32"/>
          <w:szCs w:val="32"/>
          <w:shd w:val="clear" w:color="auto" w:fill="FFFFFF"/>
        </w:rPr>
        <w:t>八、年初结转和结余：指以前年度尚未完成、结转到本年按有关规定继续使用的资金，或项目已完成等产生的结余资金。</w:t>
      </w:r>
    </w:p>
    <w:p>
      <w:pPr>
        <w:spacing w:afterAutospacing="1"/>
        <w:ind w:firstLine="640" w:firstLineChars="200"/>
        <w:rPr>
          <w:rFonts w:hint="eastAsia" w:ascii="仿宋_GB2312" w:hAnsi="ˎ̥" w:eastAsia="仿宋_GB2312" w:cs="仿宋_GB2312"/>
          <w:sz w:val="32"/>
          <w:szCs w:val="32"/>
          <w:shd w:val="clear" w:color="auto" w:fill="FFFFFF"/>
        </w:rPr>
      </w:pPr>
      <w:r>
        <w:rPr>
          <w:rFonts w:hint="eastAsia" w:ascii="仿宋_GB2312" w:hAnsi="ˎ̥" w:eastAsia="仿宋_GB2312" w:cs="仿宋_GB2312"/>
          <w:sz w:val="32"/>
          <w:szCs w:val="32"/>
          <w:shd w:val="clear" w:color="auto" w:fill="FFFFFF"/>
        </w:rPr>
        <w:t>九、结余分配：指事业单位缴纳企业所得税以及从非财政拨款结余或经营结余中提取各类结余的情况。</w:t>
      </w:r>
    </w:p>
    <w:p>
      <w:pPr>
        <w:spacing w:afterAutospacing="1"/>
        <w:ind w:firstLine="640" w:firstLineChars="200"/>
        <w:rPr>
          <w:rFonts w:hint="eastAsia" w:ascii="仿宋_GB2312" w:hAnsi="ˎ̥" w:eastAsia="仿宋_GB2312" w:cs="仿宋_GB2312"/>
          <w:sz w:val="32"/>
          <w:szCs w:val="32"/>
          <w:shd w:val="clear" w:color="auto" w:fill="FFFFFF"/>
        </w:rPr>
      </w:pPr>
      <w:r>
        <w:rPr>
          <w:rFonts w:hint="eastAsia" w:ascii="仿宋_GB2312" w:hAnsi="ˎ̥" w:eastAsia="仿宋_GB2312" w:cs="仿宋_GB2312"/>
          <w:sz w:val="32"/>
          <w:szCs w:val="32"/>
          <w:shd w:val="clear" w:color="auto" w:fill="FFFFFF"/>
        </w:rPr>
        <w:t>十、年末结转和结余：指本年度或以前年度预算安排、因客观条件发生变化无法按原计划实施，需要延迟到以后年度按有关规定继续使用的资金（不包括事业单位非财政拨款结余和专用结余）。</w:t>
      </w:r>
    </w:p>
    <w:p>
      <w:pPr>
        <w:spacing w:afterAutospacing="1"/>
        <w:ind w:firstLine="640" w:firstLineChars="200"/>
        <w:rPr>
          <w:rFonts w:hint="eastAsia" w:ascii="仿宋_GB2312" w:hAnsi="ˎ̥" w:eastAsia="仿宋_GB2312" w:cs="仿宋_GB2312"/>
          <w:sz w:val="32"/>
          <w:szCs w:val="32"/>
          <w:shd w:val="clear" w:color="auto" w:fill="FFFFFF"/>
        </w:rPr>
      </w:pPr>
      <w:r>
        <w:rPr>
          <w:rFonts w:hint="eastAsia" w:ascii="仿宋_GB2312" w:hAnsi="ˎ̥" w:eastAsia="仿宋_GB2312" w:cs="仿宋_GB2312"/>
          <w:sz w:val="32"/>
          <w:szCs w:val="32"/>
          <w:shd w:val="clear" w:color="auto" w:fill="FFFFFF"/>
        </w:rPr>
        <w:t>十一、基本支出：指为保障机构正常运转、完成日常工作任务而发生的人员支出和公用支出。</w:t>
      </w:r>
    </w:p>
    <w:p>
      <w:pPr>
        <w:spacing w:afterAutospacing="1"/>
        <w:ind w:firstLine="640" w:firstLineChars="200"/>
        <w:rPr>
          <w:rFonts w:hint="eastAsia" w:ascii="仿宋_GB2312" w:hAnsi="ˎ̥" w:eastAsia="仿宋_GB2312" w:cs="仿宋_GB2312"/>
          <w:sz w:val="32"/>
          <w:szCs w:val="32"/>
          <w:shd w:val="clear" w:color="auto" w:fill="FFFFFF"/>
        </w:rPr>
      </w:pPr>
      <w:r>
        <w:rPr>
          <w:rFonts w:hint="eastAsia" w:ascii="仿宋_GB2312" w:hAnsi="ˎ̥" w:eastAsia="仿宋_GB2312" w:cs="仿宋_GB2312"/>
          <w:sz w:val="32"/>
          <w:szCs w:val="32"/>
          <w:shd w:val="clear" w:color="auto" w:fill="FFFFFF"/>
        </w:rPr>
        <w:t>十二、项目支出：指在基本支出之外为完成特定行政任务和事业发展目标所发生的支出。</w:t>
      </w:r>
    </w:p>
    <w:p>
      <w:pPr>
        <w:spacing w:afterAutospacing="1"/>
        <w:ind w:firstLine="640" w:firstLineChars="200"/>
        <w:rPr>
          <w:rFonts w:hint="eastAsia" w:ascii="仿宋_GB2312" w:hAnsi="ˎ̥" w:eastAsia="仿宋_GB2312" w:cs="仿宋_GB2312"/>
          <w:sz w:val="32"/>
          <w:szCs w:val="32"/>
          <w:shd w:val="clear" w:color="auto" w:fill="FFFFFF"/>
        </w:rPr>
      </w:pPr>
      <w:r>
        <w:rPr>
          <w:rFonts w:hint="eastAsia" w:ascii="仿宋_GB2312" w:hAnsi="ˎ̥" w:eastAsia="仿宋_GB2312" w:cs="仿宋_GB2312"/>
          <w:sz w:val="32"/>
          <w:szCs w:val="32"/>
          <w:shd w:val="clear" w:color="auto" w:fill="FFFFFF"/>
        </w:rPr>
        <w:t>十三、经营支出：指事业单位在专业业务活动及其辅助活动之外开展非独立核算经营活动发生的支出。</w:t>
      </w:r>
    </w:p>
    <w:p>
      <w:pPr>
        <w:spacing w:afterAutospacing="1"/>
        <w:ind w:firstLine="640" w:firstLineChars="200"/>
        <w:rPr>
          <w:rFonts w:hint="eastAsia" w:ascii="仿宋_GB2312" w:hAnsi="ˎ̥" w:eastAsia="仿宋_GB2312" w:cs="仿宋_GB2312"/>
          <w:sz w:val="32"/>
          <w:szCs w:val="32"/>
          <w:shd w:val="clear" w:color="auto" w:fill="FFFFFF"/>
        </w:rPr>
      </w:pPr>
      <w:r>
        <w:rPr>
          <w:rFonts w:hint="eastAsia" w:ascii="仿宋_GB2312" w:hAnsi="ˎ̥" w:eastAsia="仿宋_GB2312" w:cs="仿宋_GB2312"/>
          <w:sz w:val="32"/>
          <w:szCs w:val="32"/>
          <w:shd w:val="clear" w:color="auto" w:fill="FFFFFF"/>
        </w:rPr>
        <w:t>十四、“三公”经费：纳入本级财政预决算管理的“三公”经费，是指用一般公共预算财政拨款、政府性基金预算财政拨款及国有资本经营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牌照费）及燃料费、维修费、过路过桥费、保险费、安全奖励费用等支出；公务接待费反映单位按规定开支的各类公务接待（含外宾接待）费用。</w:t>
      </w:r>
    </w:p>
    <w:p>
      <w:pPr>
        <w:spacing w:afterAutospacing="1"/>
        <w:ind w:firstLine="645"/>
        <w:rPr>
          <w:rFonts w:hint="eastAsia" w:ascii="仿宋_GB2312" w:hAnsi="ˎ̥" w:eastAsia="仿宋_GB2312" w:cs="仿宋_GB2312"/>
          <w:sz w:val="32"/>
          <w:szCs w:val="32"/>
          <w:shd w:val="clear" w:color="auto" w:fill="FFFFFF"/>
        </w:rPr>
      </w:pPr>
      <w:r>
        <w:rPr>
          <w:rFonts w:hint="eastAsia" w:ascii="仿宋_GB2312" w:hAnsi="ˎ̥" w:eastAsia="仿宋_GB2312" w:cs="仿宋_GB2312"/>
          <w:sz w:val="32"/>
          <w:szCs w:val="32"/>
          <w:shd w:val="clear" w:color="auto" w:fill="FFFFFF"/>
        </w:rPr>
        <w:t>十五、机关运行经费：为保障行政单位（含参照公务员法管理的事业单位）运行使用一般公共预算财政拨款安排的基本支出经费用于购买货物和服务的各项资金，包括办公及印刷费、邮电费、差旅费、会议费、福利费、日常维修费、专用材料及一般设备购置费、办公用房水电费、办公用房取暖费、办公用房物业管理费、公务用车运行维护费以及其他费用等。</w:t>
      </w:r>
    </w:p>
    <w:p>
      <w:pPr>
        <w:spacing w:afterAutospacing="1"/>
        <w:ind w:firstLine="645"/>
        <w:rPr>
          <w:rFonts w:hint="eastAsia" w:ascii="仿宋_GB2312" w:hAnsi="ˎ̥" w:eastAsia="仿宋_GB2312" w:cs="仿宋_GB2312"/>
          <w:sz w:val="32"/>
          <w:szCs w:val="32"/>
          <w:shd w:val="clear" w:color="auto" w:fill="FFFFFF"/>
        </w:rPr>
      </w:pPr>
      <w:r>
        <w:rPr>
          <w:rFonts w:hint="eastAsia" w:ascii="仿宋_GB2312" w:hAnsi="ˎ̥" w:eastAsia="仿宋_GB2312" w:cs="仿宋_GB2312"/>
          <w:sz w:val="32"/>
          <w:szCs w:val="32"/>
          <w:shd w:val="clear" w:color="auto" w:fill="FFFFFF"/>
        </w:rPr>
        <w:t>（注：支出功能分类的名词解释，各部门（单位）根据实际支出情况填列，可参阅财政部印发的《2022年政府收支分类科目》）</w:t>
      </w:r>
    </w:p>
    <w:p>
      <w:pPr>
        <w:spacing w:afterAutospacing="1"/>
        <w:rPr>
          <w:rFonts w:hint="eastAsia" w:ascii="仿宋_GB2312" w:hAnsi="ˎ̥" w:eastAsia="仿宋_GB2312" w:cs="仿宋_GB2312"/>
          <w:sz w:val="32"/>
          <w:szCs w:val="32"/>
          <w:shd w:val="clear" w:color="auto" w:fill="FFFFFF"/>
        </w:rPr>
      </w:pPr>
      <w:r>
        <w:rPr>
          <w:rFonts w:hint="eastAsia" w:ascii="仿宋_GB2312" w:hAnsi="ˎ̥" w:eastAsia="仿宋_GB2312" w:cs="仿宋_GB2312"/>
          <w:sz w:val="32"/>
          <w:szCs w:val="32"/>
          <w:shd w:val="clear" w:color="auto" w:fill="FFFFFF"/>
        </w:rPr>
        <w:t>……</w:t>
      </w:r>
    </w:p>
    <w:p>
      <w:pPr>
        <w:spacing w:afterAutospacing="1"/>
        <w:rPr>
          <w:shd w:val="clear" w:color="auto" w:fill="FFFFFF"/>
        </w:rPr>
      </w:pPr>
    </w:p>
    <w:sectPr>
      <w:pgSz w:w="11915" w:h="16851"/>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582916"/>
    <w:multiLevelType w:val="multilevel"/>
    <w:tmpl w:val="8F582916"/>
    <w:lvl w:ilvl="0" w:tentative="0">
      <w:start w:val="1"/>
      <w:numFmt w:val="decimal"/>
      <w:lvlText w:val="%1."/>
      <w:lvlJc w:val="left"/>
      <w:pPr>
        <w:tabs>
          <w:tab w:val="left" w:pos="720"/>
        </w:tabs>
        <w:ind w:left="84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E09F861A"/>
    <w:multiLevelType w:val="singleLevel"/>
    <w:tmpl w:val="E09F861A"/>
    <w:lvl w:ilvl="0" w:tentative="0">
      <w:start w:val="1"/>
      <w:numFmt w:val="chineseCounting"/>
      <w:suff w:val="nothing"/>
      <w:lvlText w:val="%1、"/>
      <w:lvlJc w:val="left"/>
      <w:rPr>
        <w:rFonts w:hint="eastAsia"/>
      </w:rPr>
    </w:lvl>
  </w:abstractNum>
  <w:abstractNum w:abstractNumId="2">
    <w:nsid w:val="E7D26CC2"/>
    <w:multiLevelType w:val="multilevel"/>
    <w:tmpl w:val="E7D26CC2"/>
    <w:lvl w:ilvl="0" w:tentative="0">
      <w:start w:val="1"/>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abstractNum w:abstractNumId="3">
    <w:nsid w:val="F1D1D7AD"/>
    <w:multiLevelType w:val="multilevel"/>
    <w:tmpl w:val="F1D1D7AD"/>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1C0E6F3C"/>
    <w:multiLevelType w:val="multilevel"/>
    <w:tmpl w:val="1C0E6F3C"/>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2"/>
  </w:compat>
  <w:rsids>
    <w:rsidRoot w:val="007A6325"/>
    <w:rsid w:val="000B17ED"/>
    <w:rsid w:val="001E0618"/>
    <w:rsid w:val="002A1D47"/>
    <w:rsid w:val="00351825"/>
    <w:rsid w:val="003717FC"/>
    <w:rsid w:val="0044777F"/>
    <w:rsid w:val="0046283E"/>
    <w:rsid w:val="004701FE"/>
    <w:rsid w:val="00476382"/>
    <w:rsid w:val="00504826"/>
    <w:rsid w:val="00505D4E"/>
    <w:rsid w:val="00520D7A"/>
    <w:rsid w:val="00584C46"/>
    <w:rsid w:val="005A75B5"/>
    <w:rsid w:val="00685570"/>
    <w:rsid w:val="006A0B38"/>
    <w:rsid w:val="006B2FF1"/>
    <w:rsid w:val="006C61EA"/>
    <w:rsid w:val="006C7BB0"/>
    <w:rsid w:val="007330CB"/>
    <w:rsid w:val="0077143A"/>
    <w:rsid w:val="007801C9"/>
    <w:rsid w:val="007A6325"/>
    <w:rsid w:val="00821E59"/>
    <w:rsid w:val="008B3459"/>
    <w:rsid w:val="008D23E0"/>
    <w:rsid w:val="00916805"/>
    <w:rsid w:val="00960D9E"/>
    <w:rsid w:val="009967C4"/>
    <w:rsid w:val="009E1BCF"/>
    <w:rsid w:val="00A31784"/>
    <w:rsid w:val="00A67521"/>
    <w:rsid w:val="00A913F9"/>
    <w:rsid w:val="00AA17AE"/>
    <w:rsid w:val="00AC2CB2"/>
    <w:rsid w:val="00AE0977"/>
    <w:rsid w:val="00B0548C"/>
    <w:rsid w:val="00B9227D"/>
    <w:rsid w:val="00BD031E"/>
    <w:rsid w:val="00BE7964"/>
    <w:rsid w:val="00C5680A"/>
    <w:rsid w:val="00C70900"/>
    <w:rsid w:val="00C967F9"/>
    <w:rsid w:val="00CA1AE1"/>
    <w:rsid w:val="00CA69A7"/>
    <w:rsid w:val="00DB70F3"/>
    <w:rsid w:val="00DB744A"/>
    <w:rsid w:val="00E23930"/>
    <w:rsid w:val="00E5056E"/>
    <w:rsid w:val="00EC2DD5"/>
    <w:rsid w:val="00EE58F6"/>
    <w:rsid w:val="00F446FA"/>
    <w:rsid w:val="00F4631A"/>
    <w:rsid w:val="00F9515F"/>
    <w:rsid w:val="00FD4711"/>
    <w:rsid w:val="4999265C"/>
    <w:rsid w:val="74305C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cs="Times New Roman" w:asciiTheme="minorEastAsia" w:hAnsiTheme="minorEastAsia" w:eastAsiaTheme="minorEastAsia"/>
      <w:sz w:val="24"/>
      <w:szCs w:val="24"/>
      <w:lang w:val="en-US" w:eastAsia="zh-CN" w:bidi="ar-SA"/>
    </w:rPr>
  </w:style>
  <w:style w:type="paragraph" w:styleId="2">
    <w:name w:val="heading 1"/>
    <w:basedOn w:val="1"/>
    <w:next w:val="1"/>
    <w:qFormat/>
    <w:uiPriority w:val="0"/>
    <w:pPr>
      <w:spacing w:beforeAutospacing="1" w:afterAutospacing="1"/>
      <w:outlineLvl w:val="0"/>
    </w:pPr>
    <w:rPr>
      <w:rFonts w:hint="eastAsia" w:ascii="宋体" w:hAnsi="宋体" w:eastAsia="宋体"/>
      <w:b/>
      <w:bCs/>
      <w:kern w:val="44"/>
      <w:sz w:val="48"/>
      <w:szCs w:val="48"/>
    </w:rPr>
  </w:style>
  <w:style w:type="paragraph" w:styleId="3">
    <w:name w:val="heading 2"/>
    <w:basedOn w:val="1"/>
    <w:next w:val="1"/>
    <w:semiHidden/>
    <w:unhideWhenUsed/>
    <w:qFormat/>
    <w:uiPriority w:val="0"/>
    <w:pPr>
      <w:spacing w:beforeAutospacing="1" w:afterAutospacing="1"/>
      <w:outlineLvl w:val="1"/>
    </w:pPr>
    <w:rPr>
      <w:rFonts w:hint="eastAsia" w:ascii="宋体" w:hAnsi="宋体" w:eastAsia="宋体"/>
      <w:b/>
      <w:bCs/>
      <w:sz w:val="36"/>
      <w:szCs w:val="36"/>
    </w:rPr>
  </w:style>
  <w:style w:type="paragraph" w:styleId="4">
    <w:name w:val="heading 3"/>
    <w:basedOn w:val="1"/>
    <w:next w:val="1"/>
    <w:semiHidden/>
    <w:unhideWhenUsed/>
    <w:qFormat/>
    <w:uiPriority w:val="0"/>
    <w:pPr>
      <w:spacing w:beforeAutospacing="1" w:afterAutospacing="1"/>
      <w:outlineLvl w:val="2"/>
    </w:pPr>
    <w:rPr>
      <w:rFonts w:hint="eastAsia" w:ascii="宋体" w:hAnsi="宋体" w:eastAsia="宋体"/>
      <w:b/>
      <w:bCs/>
      <w:sz w:val="27"/>
      <w:szCs w:val="27"/>
    </w:rPr>
  </w:style>
  <w:style w:type="paragraph" w:styleId="5">
    <w:name w:val="heading 4"/>
    <w:basedOn w:val="1"/>
    <w:next w:val="1"/>
    <w:semiHidden/>
    <w:unhideWhenUsed/>
    <w:qFormat/>
    <w:uiPriority w:val="0"/>
    <w:pPr>
      <w:spacing w:beforeAutospacing="1" w:afterAutospacing="1"/>
      <w:outlineLvl w:val="3"/>
    </w:pPr>
    <w:rPr>
      <w:rFonts w:hint="eastAsia" w:ascii="宋体" w:hAnsi="宋体" w:eastAsia="宋体"/>
      <w:b/>
      <w:bCs/>
    </w:rPr>
  </w:style>
  <w:style w:type="paragraph" w:styleId="6">
    <w:name w:val="heading 5"/>
    <w:basedOn w:val="1"/>
    <w:next w:val="1"/>
    <w:semiHidden/>
    <w:unhideWhenUsed/>
    <w:qFormat/>
    <w:uiPriority w:val="0"/>
    <w:pPr>
      <w:spacing w:beforeAutospacing="1" w:afterAutospacing="1"/>
      <w:outlineLvl w:val="4"/>
    </w:pPr>
    <w:rPr>
      <w:rFonts w:hint="eastAsia" w:ascii="宋体" w:hAnsi="宋体" w:eastAsia="宋体"/>
      <w:b/>
      <w:bCs/>
      <w:sz w:val="20"/>
      <w:szCs w:val="20"/>
    </w:rPr>
  </w:style>
  <w:style w:type="paragraph" w:styleId="7">
    <w:name w:val="heading 6"/>
    <w:basedOn w:val="1"/>
    <w:next w:val="1"/>
    <w:semiHidden/>
    <w:unhideWhenUsed/>
    <w:qFormat/>
    <w:uiPriority w:val="0"/>
    <w:pPr>
      <w:spacing w:beforeAutospacing="1" w:afterAutospacing="1"/>
      <w:outlineLvl w:val="5"/>
    </w:pPr>
    <w:rPr>
      <w:rFonts w:hint="eastAsia" w:ascii="宋体" w:hAnsi="宋体" w:eastAsia="宋体"/>
      <w:b/>
      <w:bCs/>
      <w:sz w:val="15"/>
      <w:szCs w:val="15"/>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8">
    <w:name w:val="footer"/>
    <w:basedOn w:val="1"/>
    <w:link w:val="15"/>
    <w:uiPriority w:val="0"/>
    <w:pPr>
      <w:tabs>
        <w:tab w:val="center" w:pos="4153"/>
        <w:tab w:val="right" w:pos="8306"/>
      </w:tabs>
      <w:snapToGrid w:val="0"/>
    </w:pPr>
    <w:rPr>
      <w:sz w:val="18"/>
      <w:szCs w:val="18"/>
    </w:rPr>
  </w:style>
  <w:style w:type="paragraph" w:styleId="9">
    <w:name w:val="header"/>
    <w:basedOn w:val="1"/>
    <w:link w:val="14"/>
    <w:uiPriority w:val="0"/>
    <w:pPr>
      <w:pBdr>
        <w:bottom w:val="single" w:color="auto" w:sz="6" w:space="1"/>
      </w:pBdr>
      <w:tabs>
        <w:tab w:val="center" w:pos="4153"/>
        <w:tab w:val="right" w:pos="8306"/>
      </w:tabs>
      <w:snapToGrid w:val="0"/>
      <w:jc w:val="center"/>
    </w:pPr>
    <w:rPr>
      <w:sz w:val="18"/>
      <w:szCs w:val="18"/>
    </w:rPr>
  </w:style>
  <w:style w:type="paragraph" w:styleId="1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int="eastAsia" w:ascii="宋体" w:hAnsi="宋体" w:eastAsia="宋体"/>
    </w:rPr>
  </w:style>
  <w:style w:type="paragraph" w:styleId="11">
    <w:name w:val="Normal (Web)"/>
    <w:basedOn w:val="1"/>
    <w:qFormat/>
    <w:uiPriority w:val="0"/>
    <w:pPr>
      <w:spacing w:beforeAutospacing="1" w:afterAutospacing="1"/>
    </w:pPr>
  </w:style>
  <w:style w:type="character" w:customStyle="1" w:styleId="14">
    <w:name w:val="页眉 Char"/>
    <w:basedOn w:val="13"/>
    <w:link w:val="9"/>
    <w:uiPriority w:val="0"/>
    <w:rPr>
      <w:rFonts w:asciiTheme="minorEastAsia" w:hAnsiTheme="minorEastAsia" w:eastAsiaTheme="minorEastAsia"/>
      <w:sz w:val="18"/>
      <w:szCs w:val="18"/>
    </w:rPr>
  </w:style>
  <w:style w:type="character" w:customStyle="1" w:styleId="15">
    <w:name w:val="页脚 Char"/>
    <w:basedOn w:val="13"/>
    <w:link w:val="8"/>
    <w:uiPriority w:val="0"/>
    <w:rPr>
      <w:rFonts w:asciiTheme="minorEastAsia" w:hAnsiTheme="minorEastAsia" w:eastAsiaTheme="minorEastAsia"/>
      <w:sz w:val="18"/>
      <w:szCs w:val="18"/>
    </w:rPr>
  </w:style>
  <w:style w:type="paragraph" w:styleId="16">
    <w:name w:val="List Paragraph"/>
    <w:basedOn w:val="1"/>
    <w:unhideWhenUsed/>
    <w:uiPriority w:val="99"/>
    <w:pPr>
      <w:ind w:firstLine="420" w:firstLineChars="200"/>
    </w:pPr>
  </w:style>
  <w:style w:type="paragraph" w:customStyle="1" w:styleId="17">
    <w:name w:val="p0"/>
    <w:basedOn w:val="1"/>
    <w:qFormat/>
    <w:uiPriority w:val="0"/>
    <w:rPr>
      <w:rFonts w:hint="eastAsia" w:ascii="宋体" w:hAnsi="宋体" w:eastAsia="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1051</Words>
  <Characters>5992</Characters>
  <Lines>49</Lines>
  <Paragraphs>14</Paragraphs>
  <TotalTime>50</TotalTime>
  <ScaleCrop>false</ScaleCrop>
  <LinksUpToDate>false</LinksUpToDate>
  <CharactersWithSpaces>7029</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2023-09-20T10:40:00Z</dcterms:created>
  <dc:creator>Administrator</dc:creator>
  <cp:lastModifiedBy>Administrator</cp:lastModifiedBy>
  <dcterms:modified xsi:type="dcterms:W3CDTF">2023-09-22T09:30:26Z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4B8483394B64485888CC15114B1B84EA</vt:lpwstr>
  </property>
</Properties>
</file>