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color w:val="333333"/>
          <w:sz w:val="32"/>
          <w:szCs w:val="32"/>
          <w:highlight w:val="none"/>
          <w:shd w:val="clear" w:color="auto" w:fill="FFFFFF"/>
          <w:lang w:val="en-US" w:eastAsia="zh-CN"/>
        </w:rPr>
      </w:pPr>
      <w:r>
        <w:rPr>
          <w:rFonts w:hint="eastAsia" w:ascii="黑体" w:hAnsi="黑体" w:eastAsia="黑体" w:cs="黑体"/>
          <w:color w:val="333333"/>
          <w:sz w:val="32"/>
          <w:szCs w:val="32"/>
          <w:highlight w:val="none"/>
          <w:shd w:val="clear" w:color="auto" w:fill="FFFFFF"/>
          <w:lang w:eastAsia="zh-CN"/>
        </w:rPr>
        <w:t>附件</w:t>
      </w:r>
      <w:r>
        <w:rPr>
          <w:rFonts w:hint="eastAsia" w:ascii="黑体" w:hAnsi="黑体" w:eastAsia="黑体" w:cs="黑体"/>
          <w:color w:val="333333"/>
          <w:sz w:val="32"/>
          <w:szCs w:val="32"/>
          <w:highlight w:val="none"/>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color w:val="333333"/>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333333"/>
          <w:sz w:val="44"/>
          <w:szCs w:val="44"/>
          <w:highlight w:val="none"/>
          <w:shd w:val="clear" w:color="auto" w:fill="FFFFFF"/>
          <w:lang w:eastAsia="zh-CN"/>
        </w:rPr>
      </w:pPr>
      <w:bookmarkStart w:id="0" w:name="_GoBack"/>
      <w:r>
        <w:rPr>
          <w:rFonts w:hint="eastAsia" w:ascii="方正小标宋_GBK" w:hAnsi="方正小标宋_GBK" w:eastAsia="方正小标宋_GBK" w:cs="方正小标宋_GBK"/>
          <w:color w:val="333333"/>
          <w:sz w:val="44"/>
          <w:szCs w:val="44"/>
          <w:highlight w:val="none"/>
          <w:shd w:val="clear" w:color="auto" w:fill="FFFFFF"/>
        </w:rPr>
        <w:t>关于2022年定安县财政预算调整</w:t>
      </w:r>
      <w:r>
        <w:rPr>
          <w:rFonts w:hint="eastAsia" w:ascii="方正小标宋_GBK" w:hAnsi="方正小标宋_GBK" w:eastAsia="方正小标宋_GBK" w:cs="方正小标宋_GBK"/>
          <w:color w:val="333333"/>
          <w:sz w:val="44"/>
          <w:szCs w:val="44"/>
          <w:highlight w:val="none"/>
          <w:shd w:val="clear" w:color="auto" w:fill="FFFFFF"/>
          <w:lang w:eastAsia="zh-CN"/>
        </w:rPr>
        <w:t>方案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333333"/>
          <w:sz w:val="44"/>
          <w:szCs w:val="44"/>
          <w:highlight w:val="none"/>
          <w:shd w:val="clear" w:color="auto" w:fill="FFFFFF"/>
        </w:rPr>
      </w:pPr>
      <w:r>
        <w:rPr>
          <w:rFonts w:hint="eastAsia" w:ascii="方正小标宋_GBK" w:hAnsi="方正小标宋_GBK" w:eastAsia="方正小标宋_GBK" w:cs="方正小标宋_GBK"/>
          <w:color w:val="333333"/>
          <w:sz w:val="44"/>
          <w:szCs w:val="44"/>
          <w:highlight w:val="none"/>
          <w:shd w:val="clear" w:color="auto" w:fill="FFFFFF"/>
          <w:lang w:eastAsia="zh-CN"/>
        </w:rPr>
        <w:t>（</w:t>
      </w:r>
      <w:r>
        <w:rPr>
          <w:rFonts w:hint="eastAsia" w:ascii="方正小标宋_GBK" w:hAnsi="方正小标宋_GBK" w:eastAsia="方正小标宋_GBK" w:cs="方正小标宋_GBK"/>
          <w:color w:val="333333"/>
          <w:sz w:val="44"/>
          <w:szCs w:val="44"/>
          <w:highlight w:val="none"/>
          <w:shd w:val="clear" w:color="auto" w:fill="FFFFFF"/>
        </w:rPr>
        <w:t>草案</w:t>
      </w:r>
      <w:r>
        <w:rPr>
          <w:rFonts w:hint="eastAsia" w:ascii="方正小标宋_GBK" w:hAnsi="方正小标宋_GBK" w:eastAsia="方正小标宋_GBK" w:cs="方正小标宋_GBK"/>
          <w:color w:val="333333"/>
          <w:sz w:val="44"/>
          <w:szCs w:val="44"/>
          <w:highlight w:val="none"/>
          <w:shd w:val="clear" w:color="auto" w:fill="FFFFFF"/>
          <w:lang w:eastAsia="zh-CN"/>
        </w:rPr>
        <w:t>）的</w:t>
      </w:r>
      <w:r>
        <w:rPr>
          <w:rFonts w:hint="eastAsia" w:ascii="方正小标宋_GBK" w:hAnsi="方正小标宋_GBK" w:eastAsia="方正小标宋_GBK" w:cs="方正小标宋_GBK"/>
          <w:color w:val="333333"/>
          <w:sz w:val="44"/>
          <w:szCs w:val="44"/>
          <w:highlight w:val="none"/>
          <w:shd w:val="clear" w:color="auto" w:fill="FFFFFF"/>
        </w:rPr>
        <w:t>报告</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333333"/>
          <w:sz w:val="32"/>
          <w:szCs w:val="32"/>
          <w:highlight w:val="none"/>
          <w:shd w:val="clear" w:color="auto" w:fill="FFFFFF"/>
        </w:rPr>
      </w:pPr>
    </w:p>
    <w:bookmarkEnd w:id="0"/>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在2022年度财政预算执行中，省人大常委会批准2022年省级转贷我县新增地债资金9500万元、省级转贷我县再融资债券资金63595万元，省级下达均衡性转移支付收入18975万元和县级基本财力资金收入11754万元，根据《中华人民共和国预算法》《中华人民共和国预算法实施条例》等规定，我县需编制2022年预算调整方案。现将调整内容报告如下。</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黑体" w:hAnsi="黑体" w:eastAsia="黑体" w:cs="黑体"/>
          <w:color w:val="333333"/>
          <w:kern w:val="0"/>
          <w:sz w:val="32"/>
          <w:szCs w:val="32"/>
          <w:highlight w:val="none"/>
          <w:lang w:val="en-US" w:eastAsia="zh-CN" w:bidi="ar-SA"/>
        </w:rPr>
      </w:pPr>
      <w:r>
        <w:rPr>
          <w:rFonts w:hint="eastAsia" w:ascii="黑体" w:hAnsi="黑体" w:eastAsia="黑体" w:cs="黑体"/>
          <w:color w:val="333333"/>
          <w:kern w:val="0"/>
          <w:sz w:val="32"/>
          <w:szCs w:val="32"/>
          <w:highlight w:val="none"/>
          <w:lang w:val="en-US" w:eastAsia="zh-CN" w:bidi="ar-SA"/>
        </w:rPr>
        <w:t>一、预算调整内容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楷体_GB2312" w:hAnsi="楷体_GB2312" w:eastAsia="楷体_GB2312" w:cs="楷体_GB2312"/>
          <w:color w:val="333333"/>
          <w:kern w:val="0"/>
          <w:sz w:val="32"/>
          <w:szCs w:val="32"/>
          <w:highlight w:val="none"/>
          <w:lang w:val="en-US" w:eastAsia="zh-CN" w:bidi="ar-SA"/>
        </w:rPr>
      </w:pPr>
      <w:r>
        <w:rPr>
          <w:rFonts w:hint="eastAsia" w:ascii="楷体_GB2312" w:hAnsi="楷体_GB2312" w:eastAsia="楷体_GB2312" w:cs="楷体_GB2312"/>
          <w:color w:val="333333"/>
          <w:kern w:val="0"/>
          <w:sz w:val="32"/>
          <w:szCs w:val="32"/>
          <w:highlight w:val="none"/>
          <w:lang w:val="en-US" w:eastAsia="zh-CN" w:bidi="ar-SA"/>
        </w:rPr>
        <w:t>（一）调整债务转贷收入和支出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1.</w:t>
      </w:r>
      <w:r>
        <w:rPr>
          <w:rFonts w:hint="eastAsia" w:ascii="仿宋_GB2312" w:hAnsi="仿宋_GB2312" w:eastAsia="仿宋_GB2312"/>
          <w:sz w:val="32"/>
          <w:highlight w:val="none"/>
        </w:rPr>
        <w:t>再融资债券</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根据《海南省财政厅关于下达2022年再融资债券发行上限的通知》文件精神，2022年省级转贷我县再融资债券资金63595万元，其中：一般债券27736万元，专项债券35859万元。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2.</w:t>
      </w:r>
      <w:r>
        <w:rPr>
          <w:rFonts w:hint="eastAsia" w:ascii="仿宋_GB2312" w:hAnsi="仿宋_GB2312" w:eastAsia="仿宋_GB2312"/>
          <w:sz w:val="32"/>
          <w:highlight w:val="none"/>
        </w:rPr>
        <w:t>省级转贷市县新增地债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根据《海南省财政厅关于下达2022年第二批省级转贷市县新增地债额度及项目的通知》，2022年第二批省级转贷我县新增地债资金9500万元，其中：一般债券2000万元，专项债券7500万元。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3.一般债券纳入一般公共预算收支，专项债券纳入政府性基金收支。我县已在年初预算中安排再融资一般债券27736万元，此次再融资债券一般债券不再调整。2022年预算需要相应调增一般公共预算债务收支2000万元；政府性基金债务收支43359万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楷体_GB2312" w:hAnsi="楷体_GB2312" w:eastAsia="楷体_GB2312" w:cs="楷体_GB2312"/>
          <w:color w:val="333333"/>
          <w:kern w:val="0"/>
          <w:sz w:val="32"/>
          <w:szCs w:val="32"/>
          <w:highlight w:val="none"/>
          <w:lang w:val="en-US" w:eastAsia="zh-CN" w:bidi="ar-SA"/>
        </w:rPr>
      </w:pPr>
      <w:r>
        <w:rPr>
          <w:rFonts w:hint="eastAsia" w:ascii="楷体_GB2312" w:hAnsi="楷体_GB2312" w:eastAsia="楷体_GB2312" w:cs="楷体_GB2312"/>
          <w:color w:val="333333"/>
          <w:kern w:val="0"/>
          <w:sz w:val="32"/>
          <w:szCs w:val="32"/>
          <w:highlight w:val="none"/>
          <w:lang w:val="en-US" w:eastAsia="zh-CN" w:bidi="ar-SA"/>
        </w:rPr>
        <w:t>（二）调整一般公共预算转移性收入和支出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根据《海南省财政厅关于下达2022年支持基层落实减税降费和重点民生等转移支付资金的通知》</w:t>
      </w:r>
      <w:r>
        <w:rPr>
          <w:rFonts w:hint="eastAsia" w:ascii="仿宋_GB2312" w:hAnsi="仿宋_GB2312" w:eastAsia="仿宋_GB2312" w:cs="仿宋_GB2312"/>
          <w:color w:val="333333"/>
          <w:kern w:val="0"/>
          <w:sz w:val="32"/>
          <w:szCs w:val="32"/>
          <w:highlight w:val="none"/>
          <w:lang w:val="en-US" w:eastAsia="zh-CN" w:bidi="ar-SA"/>
        </w:rPr>
        <w:t>、</w:t>
      </w:r>
      <w:r>
        <w:rPr>
          <w:rFonts w:hint="eastAsia" w:ascii="仿宋_GB2312" w:hAnsi="仿宋_GB2312" w:eastAsia="仿宋_GB2312" w:cs="仿宋_GB2312"/>
          <w:color w:val="333333"/>
          <w:kern w:val="0"/>
          <w:sz w:val="32"/>
          <w:szCs w:val="32"/>
          <w:highlight w:val="none"/>
          <w:lang w:val="en-US" w:eastAsia="zh-CN" w:bidi="ar-SA"/>
        </w:rPr>
        <w:t>《海南省财政厅关于下达2022年第一批县级基本财力保障奖补资金的通知》</w:t>
      </w:r>
      <w:r>
        <w:rPr>
          <w:rFonts w:hint="eastAsia" w:ascii="仿宋_GB2312" w:hAnsi="仿宋_GB2312" w:eastAsia="仿宋_GB2312" w:cs="仿宋_GB2312"/>
          <w:color w:val="333333"/>
          <w:kern w:val="0"/>
          <w:sz w:val="32"/>
          <w:szCs w:val="32"/>
          <w:highlight w:val="none"/>
          <w:lang w:val="en-US" w:eastAsia="zh-CN" w:bidi="ar-SA"/>
        </w:rPr>
        <w:t>、</w:t>
      </w:r>
      <w:r>
        <w:rPr>
          <w:rFonts w:hint="eastAsia" w:ascii="仿宋_GB2312" w:hAnsi="仿宋_GB2312" w:eastAsia="仿宋_GB2312" w:cs="仿宋_GB2312"/>
          <w:color w:val="333333"/>
          <w:kern w:val="0"/>
          <w:sz w:val="32"/>
          <w:szCs w:val="32"/>
          <w:highlight w:val="none"/>
          <w:lang w:val="en-US" w:eastAsia="zh-CN" w:bidi="ar-SA"/>
        </w:rPr>
        <w:t>《海南省财政厅关于下达2022年均衡性转移支付资金（第三批）的通知》等文件精神，2022年省级下达我县补充县区财力专项资金10759万元，县级基本财力保障奖补资金995万元，均衡性转移支付资金18975万元</w:t>
      </w:r>
      <w:r>
        <w:rPr>
          <w:rFonts w:hint="eastAsia" w:ascii="仿宋_GB2312" w:hAnsi="仿宋_GB2312" w:eastAsia="仿宋_GB2312" w:cs="仿宋_GB2312"/>
          <w:color w:val="333333"/>
          <w:kern w:val="0"/>
          <w:sz w:val="32"/>
          <w:szCs w:val="32"/>
          <w:highlight w:val="none"/>
          <w:lang w:val="en-US" w:eastAsia="zh-CN" w:bidi="ar-SA"/>
        </w:rPr>
        <w:t>，</w:t>
      </w:r>
      <w:r>
        <w:rPr>
          <w:rFonts w:hint="eastAsia" w:ascii="仿宋_GB2312" w:hAnsi="仿宋_GB2312" w:eastAsia="仿宋_GB2312" w:cs="仿宋_GB2312"/>
          <w:color w:val="333333"/>
          <w:kern w:val="0"/>
          <w:sz w:val="32"/>
          <w:szCs w:val="32"/>
          <w:highlight w:val="none"/>
          <w:lang w:val="en-US" w:eastAsia="zh-CN" w:bidi="ar-SA"/>
        </w:rPr>
        <w:t>合计30729万元，主要用于县区“三保”及其他刚性财力缺口。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综上，我县新增一般公共预算转移性收入30729万元。按照财政收支预算平衡的原则，我县新增一般公共预算支出为30729万元。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黑体" w:hAnsi="黑体" w:eastAsia="黑体" w:cs="黑体"/>
          <w:color w:val="333333"/>
          <w:kern w:val="0"/>
          <w:sz w:val="32"/>
          <w:szCs w:val="32"/>
          <w:highlight w:val="none"/>
          <w:lang w:val="en-US" w:eastAsia="zh-CN" w:bidi="ar-SA"/>
        </w:rPr>
      </w:pPr>
      <w:r>
        <w:rPr>
          <w:rFonts w:hint="eastAsia" w:ascii="黑体" w:hAnsi="黑体" w:eastAsia="黑体" w:cs="黑体"/>
          <w:color w:val="333333"/>
          <w:kern w:val="0"/>
          <w:sz w:val="32"/>
          <w:szCs w:val="32"/>
          <w:highlight w:val="none"/>
          <w:lang w:val="en-US" w:eastAsia="zh-CN" w:bidi="ar-SA"/>
        </w:rPr>
        <w:t>二、预算调整情况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楷体_GB2312" w:hAnsi="楷体_GB2312" w:eastAsia="楷体_GB2312" w:cs="楷体_GB2312"/>
          <w:color w:val="333333"/>
          <w:kern w:val="0"/>
          <w:sz w:val="32"/>
          <w:szCs w:val="32"/>
          <w:highlight w:val="none"/>
          <w:lang w:val="en-US" w:eastAsia="zh-CN" w:bidi="ar-SA"/>
        </w:rPr>
      </w:pPr>
      <w:r>
        <w:rPr>
          <w:rFonts w:hint="eastAsia" w:ascii="楷体_GB2312" w:hAnsi="楷体_GB2312" w:eastAsia="楷体_GB2312" w:cs="楷体_GB2312"/>
          <w:color w:val="333333"/>
          <w:kern w:val="0"/>
          <w:sz w:val="32"/>
          <w:szCs w:val="32"/>
          <w:highlight w:val="none"/>
          <w:lang w:val="en-US" w:eastAsia="zh-CN" w:bidi="ar-SA"/>
        </w:rPr>
        <w:t>（一）一般公共预算调整情况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调整后，2022年县级一般公共预算总收入387072万元，增加32729万元（与年初预算数比较，下同）。其中：</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1.地方一般公共预算收入69605万元，保持不变；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2.债务收入37736万元，增加2000万元（新增一般债券收入）；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3.转移性收入279731万元，增加30729万元（其中：补充县区财力专项资金10759万元、县级基本财力保障奖补资金995万元，均衡性转移支付资金18975万元）。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调整后，2022年县级一般公共预算总支出387072万元，增加32729万元。其中：</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1.地方一般公共预算支出348122万元，增加32729万元。增加支出分布：一般公共服务支出1999万元，公共安全支出625万元，教育支出653万元，科学技术支出35万元，文化旅游体育与传媒支出534万元，社会保障和就业支出259万元，卫生健康支出631万元，节能环保支出2551万元，城乡社区支出1550万元，农林水支出1721万元，交通运输支出1132万元，资源勘探工业信息等支出193万元，自然资源海洋气象等支出1067万元，住房保障支出210万元，粮油物资储备支出142万元，灾害防治及应急管理支出160万元，其他支出18849万元，债务付息支出368万元，债务发行费用支出50万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2.预备费3154万元，保持不变；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3.债务还本支出28591万元，保持不变；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4.转移性支出7205万元，保持不变。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楷体_GB2312" w:hAnsi="楷体_GB2312" w:eastAsia="楷体_GB2312" w:cs="楷体_GB2312"/>
          <w:color w:val="333333"/>
          <w:kern w:val="0"/>
          <w:sz w:val="32"/>
          <w:szCs w:val="32"/>
          <w:highlight w:val="none"/>
          <w:lang w:val="en-US" w:eastAsia="zh-CN" w:bidi="ar-SA"/>
        </w:rPr>
      </w:pPr>
      <w:r>
        <w:rPr>
          <w:rFonts w:hint="eastAsia" w:ascii="楷体_GB2312" w:hAnsi="楷体_GB2312" w:eastAsia="楷体_GB2312" w:cs="楷体_GB2312"/>
          <w:color w:val="333333"/>
          <w:kern w:val="0"/>
          <w:sz w:val="32"/>
          <w:szCs w:val="32"/>
          <w:highlight w:val="none"/>
          <w:lang w:val="en-US" w:eastAsia="zh-CN" w:bidi="ar-SA"/>
        </w:rPr>
        <w:t>（二）政府性基金预算调整情况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调整后，2022年县级政府性基金总收入109854万元，增加43359万元。其中：</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1.地方政府性基金预算收入62131万元，保持不变；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2.债务收入43359万元，增加43359万元（其中：新增再融资债券35859万元、新增转贷市县专项债券7500万元）；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3.转移性收入4364万元，保持不变。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调整后，2022年县级政府性基金预算总支出109854万元，增加43359万元。其中：</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1.地方政府性基金预算支出73970万元，增加43359万元（其中：国有土地使用权出让收入安排的支出35859万元、其他政府性基金及对应专项债务收入安排的支出7500万元）；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kern w:val="0"/>
          <w:sz w:val="32"/>
          <w:szCs w:val="32"/>
          <w:highlight w:val="none"/>
          <w:lang w:val="en-US" w:eastAsia="zh-CN" w:bidi="ar-SA"/>
        </w:rPr>
        <w:t>2.债务还本支出35880万元，保持不变。</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default" w:ascii="仿宋_GB2312" w:eastAsia="仿宋_GB2312"/>
          <w:sz w:val="32"/>
          <w:highlight w:val="none"/>
          <w:lang w:val="en-US" w:eastAsia="zh-CN"/>
        </w:rPr>
      </w:pPr>
      <w:r>
        <w:rPr>
          <w:rFonts w:hint="eastAsia" w:ascii="仿宋_GB2312" w:hAnsi="仿宋_GB2312" w:eastAsia="仿宋_GB2312" w:cs="仿宋_GB2312"/>
          <w:color w:val="333333"/>
          <w:kern w:val="0"/>
          <w:sz w:val="32"/>
          <w:szCs w:val="32"/>
          <w:highlight w:val="none"/>
          <w:lang w:val="en-US" w:eastAsia="zh-CN" w:bidi="ar-SA"/>
        </w:rPr>
        <w:t>3.年终结余结转4万元，保持不变。</w:t>
      </w:r>
    </w:p>
    <w:p>
      <w:pPr>
        <w:keepNext w:val="0"/>
        <w:keepLines w:val="0"/>
        <w:pageBreakBefore w:val="0"/>
        <w:kinsoku/>
        <w:overflowPunct/>
        <w:topLinePunct w:val="0"/>
        <w:autoSpaceDE/>
        <w:autoSpaceDN/>
        <w:bidi w:val="0"/>
        <w:adjustRightInd/>
        <w:snapToGrid/>
        <w:spacing w:line="580" w:lineRule="exact"/>
        <w:textAlignment w:val="auto"/>
        <w:rPr>
          <w:rFonts w:hint="eastAsia" w:ascii="仿宋_GB2312" w:eastAsia="仿宋_GB2312"/>
          <w:sz w:val="32"/>
        </w:rPr>
      </w:pPr>
    </w:p>
    <w:sectPr>
      <w:headerReference r:id="rId3" w:type="default"/>
      <w:footerReference r:id="rId4" w:type="default"/>
      <w:footerReference r:id="rId5" w:type="even"/>
      <w:pgSz w:w="11907" w:h="16838"/>
      <w:pgMar w:top="2098" w:right="1474" w:bottom="1984" w:left="158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9"/>
        <w:rFonts w:hint="eastAsia" w:ascii="宋体" w:hAnsi="宋体" w:eastAsia="宋体" w:cs="宋体"/>
        <w:sz w:val="28"/>
        <w:szCs w:val="28"/>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1</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p>
    <w:pPr>
      <w:pStyle w:val="3"/>
      <w:framePr w:wrap="around" w:vAnchor="text" w:hAnchor="margin" w:xAlign="inside" w:y="1"/>
      <w:ind w:right="360" w:firstLine="360"/>
      <w:rPr>
        <w:rStyle w:val="9"/>
        <w:rFonts w:hint="eastAsia"/>
      </w:rPr>
    </w:pPr>
  </w:p>
  <w:p>
    <w:pPr>
      <w:pStyle w:val="3"/>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NjFhOGExNTNmMzI4NjAzNzI3ZTRmNGZmNDk5NDIifQ=="/>
  </w:docVars>
  <w:rsids>
    <w:rsidRoot w:val="00272FB4"/>
    <w:rsid w:val="0002341B"/>
    <w:rsid w:val="00040D7B"/>
    <w:rsid w:val="0004548E"/>
    <w:rsid w:val="00046FEB"/>
    <w:rsid w:val="00054307"/>
    <w:rsid w:val="000805B3"/>
    <w:rsid w:val="00082687"/>
    <w:rsid w:val="0009511A"/>
    <w:rsid w:val="000A4B16"/>
    <w:rsid w:val="000A4ED7"/>
    <w:rsid w:val="000B0A65"/>
    <w:rsid w:val="000B4556"/>
    <w:rsid w:val="000C34D1"/>
    <w:rsid w:val="000C6B52"/>
    <w:rsid w:val="000D1B87"/>
    <w:rsid w:val="000D7F76"/>
    <w:rsid w:val="000F3023"/>
    <w:rsid w:val="000F4DA7"/>
    <w:rsid w:val="00103E9B"/>
    <w:rsid w:val="00104DC2"/>
    <w:rsid w:val="00111D57"/>
    <w:rsid w:val="001132C7"/>
    <w:rsid w:val="00132568"/>
    <w:rsid w:val="00133ECA"/>
    <w:rsid w:val="001608A5"/>
    <w:rsid w:val="001613E2"/>
    <w:rsid w:val="00174A9F"/>
    <w:rsid w:val="00175A4D"/>
    <w:rsid w:val="00195826"/>
    <w:rsid w:val="0019789A"/>
    <w:rsid w:val="001A00FA"/>
    <w:rsid w:val="001A190E"/>
    <w:rsid w:val="001A6091"/>
    <w:rsid w:val="001A6865"/>
    <w:rsid w:val="001E06EB"/>
    <w:rsid w:val="001E1953"/>
    <w:rsid w:val="001E3207"/>
    <w:rsid w:val="001F0F83"/>
    <w:rsid w:val="001F22D6"/>
    <w:rsid w:val="001F473E"/>
    <w:rsid w:val="001F74C8"/>
    <w:rsid w:val="00207718"/>
    <w:rsid w:val="002077FE"/>
    <w:rsid w:val="00222BCE"/>
    <w:rsid w:val="00222EAC"/>
    <w:rsid w:val="00235FBA"/>
    <w:rsid w:val="00236B6B"/>
    <w:rsid w:val="002457B2"/>
    <w:rsid w:val="00251B16"/>
    <w:rsid w:val="00257F28"/>
    <w:rsid w:val="00272FB4"/>
    <w:rsid w:val="002732ED"/>
    <w:rsid w:val="00295CC0"/>
    <w:rsid w:val="002A6C88"/>
    <w:rsid w:val="002B4376"/>
    <w:rsid w:val="002B5EC6"/>
    <w:rsid w:val="002C17CC"/>
    <w:rsid w:val="002D1D5A"/>
    <w:rsid w:val="002E1E65"/>
    <w:rsid w:val="002E259C"/>
    <w:rsid w:val="00301A0C"/>
    <w:rsid w:val="00304D5D"/>
    <w:rsid w:val="00311727"/>
    <w:rsid w:val="0034487F"/>
    <w:rsid w:val="003515D3"/>
    <w:rsid w:val="00353FEB"/>
    <w:rsid w:val="003632F7"/>
    <w:rsid w:val="00374286"/>
    <w:rsid w:val="00387225"/>
    <w:rsid w:val="003913C1"/>
    <w:rsid w:val="003A0D5F"/>
    <w:rsid w:val="003B292A"/>
    <w:rsid w:val="003B5DAC"/>
    <w:rsid w:val="003B661D"/>
    <w:rsid w:val="003C41DA"/>
    <w:rsid w:val="003C6405"/>
    <w:rsid w:val="003D1D5F"/>
    <w:rsid w:val="003D7396"/>
    <w:rsid w:val="003E11FC"/>
    <w:rsid w:val="003E228B"/>
    <w:rsid w:val="003F327F"/>
    <w:rsid w:val="00421DBA"/>
    <w:rsid w:val="00423974"/>
    <w:rsid w:val="004320B7"/>
    <w:rsid w:val="0043583F"/>
    <w:rsid w:val="0045164A"/>
    <w:rsid w:val="004611DB"/>
    <w:rsid w:val="00466D40"/>
    <w:rsid w:val="00474D36"/>
    <w:rsid w:val="0049378E"/>
    <w:rsid w:val="004B5725"/>
    <w:rsid w:val="004B7DE6"/>
    <w:rsid w:val="004D070D"/>
    <w:rsid w:val="004D2274"/>
    <w:rsid w:val="004D2C71"/>
    <w:rsid w:val="004E7C05"/>
    <w:rsid w:val="005079FC"/>
    <w:rsid w:val="00507E78"/>
    <w:rsid w:val="00520805"/>
    <w:rsid w:val="00521D2E"/>
    <w:rsid w:val="005351B0"/>
    <w:rsid w:val="00540466"/>
    <w:rsid w:val="005457B7"/>
    <w:rsid w:val="00550E73"/>
    <w:rsid w:val="00555B9D"/>
    <w:rsid w:val="00556A8A"/>
    <w:rsid w:val="00567F0D"/>
    <w:rsid w:val="00580007"/>
    <w:rsid w:val="0058206E"/>
    <w:rsid w:val="005839B9"/>
    <w:rsid w:val="00596AA7"/>
    <w:rsid w:val="005A1AE7"/>
    <w:rsid w:val="005A2A1B"/>
    <w:rsid w:val="005A6158"/>
    <w:rsid w:val="005C6893"/>
    <w:rsid w:val="005E47EA"/>
    <w:rsid w:val="00601C4C"/>
    <w:rsid w:val="006076EF"/>
    <w:rsid w:val="00620D57"/>
    <w:rsid w:val="006217B1"/>
    <w:rsid w:val="006361F1"/>
    <w:rsid w:val="00637BE7"/>
    <w:rsid w:val="00640E7B"/>
    <w:rsid w:val="006527B9"/>
    <w:rsid w:val="0065328D"/>
    <w:rsid w:val="00653F27"/>
    <w:rsid w:val="0065514B"/>
    <w:rsid w:val="0067164F"/>
    <w:rsid w:val="00683430"/>
    <w:rsid w:val="00684AAB"/>
    <w:rsid w:val="00685EE5"/>
    <w:rsid w:val="00694767"/>
    <w:rsid w:val="006A3064"/>
    <w:rsid w:val="006A69EF"/>
    <w:rsid w:val="006B7C41"/>
    <w:rsid w:val="006C0153"/>
    <w:rsid w:val="006D1A64"/>
    <w:rsid w:val="006F1921"/>
    <w:rsid w:val="006F40C0"/>
    <w:rsid w:val="00717961"/>
    <w:rsid w:val="00742CE3"/>
    <w:rsid w:val="00744708"/>
    <w:rsid w:val="007750B0"/>
    <w:rsid w:val="00784036"/>
    <w:rsid w:val="00791694"/>
    <w:rsid w:val="007B0149"/>
    <w:rsid w:val="007B2689"/>
    <w:rsid w:val="007B5900"/>
    <w:rsid w:val="007C26C6"/>
    <w:rsid w:val="007C3B9A"/>
    <w:rsid w:val="007D072E"/>
    <w:rsid w:val="007D4EE1"/>
    <w:rsid w:val="0081652B"/>
    <w:rsid w:val="008224E7"/>
    <w:rsid w:val="0082708F"/>
    <w:rsid w:val="0086784A"/>
    <w:rsid w:val="00874359"/>
    <w:rsid w:val="00886A05"/>
    <w:rsid w:val="00892E45"/>
    <w:rsid w:val="00893896"/>
    <w:rsid w:val="008B5055"/>
    <w:rsid w:val="008C5480"/>
    <w:rsid w:val="008D2195"/>
    <w:rsid w:val="008E2368"/>
    <w:rsid w:val="008F5C21"/>
    <w:rsid w:val="0090716D"/>
    <w:rsid w:val="00912812"/>
    <w:rsid w:val="00924A5F"/>
    <w:rsid w:val="00926144"/>
    <w:rsid w:val="00931F64"/>
    <w:rsid w:val="00935599"/>
    <w:rsid w:val="00935FE6"/>
    <w:rsid w:val="00944DBF"/>
    <w:rsid w:val="00947AD4"/>
    <w:rsid w:val="00953DC1"/>
    <w:rsid w:val="00955643"/>
    <w:rsid w:val="00957B31"/>
    <w:rsid w:val="00967188"/>
    <w:rsid w:val="0098592E"/>
    <w:rsid w:val="00996F04"/>
    <w:rsid w:val="009A0070"/>
    <w:rsid w:val="009A363F"/>
    <w:rsid w:val="009A5A28"/>
    <w:rsid w:val="009B04EA"/>
    <w:rsid w:val="009C20E2"/>
    <w:rsid w:val="009C3D7B"/>
    <w:rsid w:val="009D2F51"/>
    <w:rsid w:val="009D7EAE"/>
    <w:rsid w:val="009E34C1"/>
    <w:rsid w:val="009F2DBA"/>
    <w:rsid w:val="009F5773"/>
    <w:rsid w:val="00A10CFC"/>
    <w:rsid w:val="00A274AC"/>
    <w:rsid w:val="00A3054A"/>
    <w:rsid w:val="00A62966"/>
    <w:rsid w:val="00A73B17"/>
    <w:rsid w:val="00A8163E"/>
    <w:rsid w:val="00A8271A"/>
    <w:rsid w:val="00A87C36"/>
    <w:rsid w:val="00A92D3F"/>
    <w:rsid w:val="00AA38D5"/>
    <w:rsid w:val="00AB2B60"/>
    <w:rsid w:val="00AB3C5A"/>
    <w:rsid w:val="00AB73D6"/>
    <w:rsid w:val="00AC279B"/>
    <w:rsid w:val="00AC3FDF"/>
    <w:rsid w:val="00AD303C"/>
    <w:rsid w:val="00AD4780"/>
    <w:rsid w:val="00AE1594"/>
    <w:rsid w:val="00AE6E11"/>
    <w:rsid w:val="00B07CBF"/>
    <w:rsid w:val="00B2468A"/>
    <w:rsid w:val="00B437A2"/>
    <w:rsid w:val="00B65CCD"/>
    <w:rsid w:val="00B737E7"/>
    <w:rsid w:val="00B80EBB"/>
    <w:rsid w:val="00BB33A8"/>
    <w:rsid w:val="00BB3859"/>
    <w:rsid w:val="00BC5EC8"/>
    <w:rsid w:val="00C004BC"/>
    <w:rsid w:val="00C01BC3"/>
    <w:rsid w:val="00C1217D"/>
    <w:rsid w:val="00C40928"/>
    <w:rsid w:val="00C45AB6"/>
    <w:rsid w:val="00C90ACA"/>
    <w:rsid w:val="00C90DFE"/>
    <w:rsid w:val="00C957BB"/>
    <w:rsid w:val="00CD2111"/>
    <w:rsid w:val="00CF2316"/>
    <w:rsid w:val="00CF4D5E"/>
    <w:rsid w:val="00CF7D0E"/>
    <w:rsid w:val="00D01D35"/>
    <w:rsid w:val="00D03287"/>
    <w:rsid w:val="00D05CAB"/>
    <w:rsid w:val="00D16432"/>
    <w:rsid w:val="00D30DB8"/>
    <w:rsid w:val="00D402A1"/>
    <w:rsid w:val="00D542C8"/>
    <w:rsid w:val="00D544DF"/>
    <w:rsid w:val="00D546EF"/>
    <w:rsid w:val="00D624DE"/>
    <w:rsid w:val="00D659D6"/>
    <w:rsid w:val="00D70A95"/>
    <w:rsid w:val="00D7340A"/>
    <w:rsid w:val="00D754B3"/>
    <w:rsid w:val="00DB08B4"/>
    <w:rsid w:val="00DC06AA"/>
    <w:rsid w:val="00DE4883"/>
    <w:rsid w:val="00DE6B55"/>
    <w:rsid w:val="00DF0FE7"/>
    <w:rsid w:val="00E058BA"/>
    <w:rsid w:val="00E12BF3"/>
    <w:rsid w:val="00E723B9"/>
    <w:rsid w:val="00E7608E"/>
    <w:rsid w:val="00EA0DFC"/>
    <w:rsid w:val="00EA1A4C"/>
    <w:rsid w:val="00EA315B"/>
    <w:rsid w:val="00EA490D"/>
    <w:rsid w:val="00EC3641"/>
    <w:rsid w:val="00ED1068"/>
    <w:rsid w:val="00EE345B"/>
    <w:rsid w:val="00EE5977"/>
    <w:rsid w:val="00EE781E"/>
    <w:rsid w:val="00EF3A54"/>
    <w:rsid w:val="00EF3AD8"/>
    <w:rsid w:val="00F00C99"/>
    <w:rsid w:val="00F0326D"/>
    <w:rsid w:val="00F16360"/>
    <w:rsid w:val="00F260CA"/>
    <w:rsid w:val="00F37113"/>
    <w:rsid w:val="00F5492C"/>
    <w:rsid w:val="00F606A6"/>
    <w:rsid w:val="00F637D6"/>
    <w:rsid w:val="00F66466"/>
    <w:rsid w:val="00F7070F"/>
    <w:rsid w:val="00F92091"/>
    <w:rsid w:val="00F92DF0"/>
    <w:rsid w:val="00F95BBD"/>
    <w:rsid w:val="00FA15DB"/>
    <w:rsid w:val="00FD40BC"/>
    <w:rsid w:val="00FE1887"/>
    <w:rsid w:val="00FF6E21"/>
    <w:rsid w:val="022A7F63"/>
    <w:rsid w:val="08BA59DB"/>
    <w:rsid w:val="135F13E8"/>
    <w:rsid w:val="1E246A42"/>
    <w:rsid w:val="2A3E7EA2"/>
    <w:rsid w:val="2BB4394E"/>
    <w:rsid w:val="2EF171F2"/>
    <w:rsid w:val="38551CAC"/>
    <w:rsid w:val="40217843"/>
    <w:rsid w:val="44B77BBC"/>
    <w:rsid w:val="540550BA"/>
    <w:rsid w:val="572E4F08"/>
    <w:rsid w:val="58FF650B"/>
    <w:rsid w:val="5F2C2773"/>
    <w:rsid w:val="658573D1"/>
    <w:rsid w:val="6A0226C6"/>
    <w:rsid w:val="6F0D6B1E"/>
    <w:rsid w:val="6FB739FA"/>
    <w:rsid w:val="71AD6576"/>
    <w:rsid w:val="75BF4E19"/>
    <w:rsid w:val="785856EE"/>
    <w:rsid w:val="78676675"/>
    <w:rsid w:val="7FE050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Calibri" w:hAnsi="Calibri" w:eastAsia="仿宋_GB2312" w:cs="宋体"/>
      <w:sz w:val="32"/>
      <w:szCs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Char Char Char Char"/>
    <w:basedOn w:val="1"/>
    <w:link w:val="7"/>
    <w:uiPriority w:val="0"/>
  </w:style>
  <w:style w:type="character" w:styleId="9">
    <w:name w:val="page number"/>
    <w:basedOn w:val="7"/>
    <w:uiPriority w:val="0"/>
  </w:style>
  <w:style w:type="character" w:styleId="10">
    <w:name w:val="Hyperlink"/>
    <w:basedOn w:val="7"/>
    <w:uiPriority w:val="0"/>
    <w:rPr>
      <w:color w:val="0000FF"/>
      <w:u w:val="single"/>
    </w:rPr>
  </w:style>
  <w:style w:type="paragraph" w:customStyle="1" w:styleId="11">
    <w:name w:val="海南化工城正文"/>
    <w:basedOn w:val="1"/>
    <w:uiPriority w:val="0"/>
    <w:pPr>
      <w:spacing w:line="324" w:lineRule="auto"/>
      <w:ind w:firstLine="480" w:firstLineChars="200"/>
    </w:pPr>
    <w:rPr>
      <w:rFonts w:ascii="宋体" w:hAnsi="宋体" w:cs="宋体"/>
      <w:sz w:val="24"/>
    </w:rPr>
  </w:style>
  <w:style w:type="paragraph" w:customStyle="1" w:styleId="1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style>
  <w:style w:type="paragraph" w:customStyle="1" w:styleId="13">
    <w:name w:val="p0"/>
    <w:basedOn w:val="1"/>
    <w:semiHidden/>
    <w:uiPriority w:val="0"/>
    <w:pPr>
      <w:widowControl/>
    </w:pPr>
    <w:rPr>
      <w:szCs w:val="21"/>
    </w:rPr>
  </w:style>
  <w:style w:type="paragraph" w:customStyle="1" w:styleId="14">
    <w:name w:val="p15"/>
    <w:basedOn w:val="1"/>
    <w:uiPriority w:val="0"/>
    <w:pPr>
      <w:widowControl/>
    </w:pPr>
    <w:rPr>
      <w:rFonts w:ascii="宋体" w:hAnsi="宋体" w:cs="宋体"/>
      <w:kern w:val="0"/>
      <w:szCs w:val="21"/>
    </w:rPr>
  </w:style>
  <w:style w:type="paragraph" w:customStyle="1" w:styleId="15">
    <w:name w:val="Normal"/>
    <w:uiPriority w:val="0"/>
    <w:pPr>
      <w:jc w:val="both"/>
    </w:pPr>
    <w:rPr>
      <w:rFonts w:ascii="Times New Roman" w:hAnsi="Times New Roman" w:eastAsia="宋体" w:cs="Times New Roman"/>
      <w:kern w:val="2"/>
      <w:sz w:val="21"/>
      <w:szCs w:val="21"/>
      <w:lang w:val="en-US" w:eastAsia="zh-CN" w:bidi="ar-SA"/>
    </w:rPr>
  </w:style>
  <w:style w:type="character" w:customStyle="1" w:styleId="16">
    <w:name w:val="NormalCharacter"/>
    <w:uiPriority w:val="0"/>
  </w:style>
  <w:style w:type="character" w:customStyle="1" w:styleId="17">
    <w:name w:val="页眉 字符"/>
    <w:link w:val="4"/>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7169;&#26495;&#25991;&#20214;\&#23450;&#24220;&#20989;&#25209;&#227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定府函批复.dot</Template>
  <Company>微软中国</Company>
  <Pages>6</Pages>
  <Words>1849</Words>
  <Characters>2207</Characters>
  <Lines>16</Lines>
  <Paragraphs>4</Paragraphs>
  <TotalTime>22</TotalTime>
  <ScaleCrop>false</ScaleCrop>
  <LinksUpToDate>false</LinksUpToDate>
  <CharactersWithSpaces>2244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2021-07-19T02:28:00Z</dcterms:created>
  <dc:creator>windows</dc:creator>
  <cp:lastModifiedBy>Administrator</cp:lastModifiedBy>
  <cp:lastPrinted>2022-08-18T09:02:00Z</cp:lastPrinted>
  <dcterms:modified xsi:type="dcterms:W3CDTF">2022-09-09T10:42:43Z</dcterms:modified>
  <dc:title>定府函〔2006〕号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7326D1C2F31E4651B01B4CBE81F0AC49</vt:lpwstr>
  </property>
</Properties>
</file>