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ind w:firstLine="535" w:firstLineChars="103"/>
        <w:jc w:val="center"/>
        <w:rPr>
          <w:rFonts w:hint="eastAsia" w:ascii="宋体" w:hAnsi="宋体" w:cs="宋体"/>
          <w:color w:val="000000"/>
          <w:sz w:val="52"/>
          <w:szCs w:val="52"/>
        </w:rPr>
      </w:pPr>
    </w:p>
    <w:p>
      <w:pPr>
        <w:spacing w:line="1200" w:lineRule="exact"/>
        <w:ind w:firstLine="535" w:firstLineChars="103"/>
        <w:jc w:val="center"/>
        <w:rPr>
          <w:rFonts w:hint="eastAsia" w:ascii="宋体" w:hAnsi="宋体" w:cs="宋体"/>
          <w:color w:val="000000"/>
          <w:sz w:val="52"/>
          <w:szCs w:val="52"/>
        </w:rPr>
      </w:pPr>
    </w:p>
    <w:p>
      <w:pPr>
        <w:spacing w:line="1200" w:lineRule="exact"/>
        <w:ind w:firstLine="535" w:firstLineChars="103"/>
        <w:jc w:val="center"/>
        <w:rPr>
          <w:rFonts w:ascii="宋体" w:cs="Times New Roman"/>
          <w:color w:val="000000"/>
          <w:sz w:val="52"/>
          <w:szCs w:val="52"/>
        </w:rPr>
      </w:pPr>
      <w:r>
        <w:rPr>
          <w:rFonts w:hint="eastAsia" w:ascii="宋体" w:hAnsi="宋体" w:cs="宋体"/>
          <w:color w:val="000000"/>
          <w:sz w:val="52"/>
          <w:szCs w:val="52"/>
        </w:rPr>
        <w:t>定安塔岭工业园区标准厂房建设项目</w:t>
      </w:r>
    </w:p>
    <w:p>
      <w:pPr>
        <w:spacing w:line="1200" w:lineRule="exact"/>
        <w:ind w:firstLine="535" w:firstLineChars="103"/>
        <w:jc w:val="center"/>
        <w:rPr>
          <w:rFonts w:hint="eastAsia" w:ascii="宋体" w:hAnsi="宋体" w:cs="宋体"/>
          <w:color w:val="000000"/>
          <w:sz w:val="52"/>
          <w:szCs w:val="52"/>
          <w:lang w:val="en-US" w:eastAsia="zh-CN"/>
        </w:rPr>
      </w:pPr>
    </w:p>
    <w:p>
      <w:pPr>
        <w:spacing w:line="1200" w:lineRule="exact"/>
        <w:ind w:firstLine="535" w:firstLineChars="103"/>
        <w:jc w:val="center"/>
        <w:rPr>
          <w:rFonts w:hint="eastAsia" w:ascii="宋体" w:hAnsi="宋体" w:cs="宋体"/>
          <w:color w:val="000000"/>
          <w:sz w:val="52"/>
          <w:szCs w:val="52"/>
          <w:lang w:val="en-US" w:eastAsia="zh-CN"/>
        </w:rPr>
      </w:pPr>
    </w:p>
    <w:p>
      <w:pPr>
        <w:spacing w:line="1200" w:lineRule="exact"/>
        <w:ind w:firstLine="535" w:firstLineChars="103"/>
        <w:jc w:val="center"/>
        <w:rPr>
          <w:rFonts w:hint="eastAsia" w:ascii="宋体" w:hAnsi="宋体" w:eastAsia="宋体" w:cs="宋体"/>
          <w:color w:val="000000"/>
          <w:sz w:val="52"/>
          <w:szCs w:val="52"/>
          <w:lang w:eastAsia="zh-CN"/>
        </w:rPr>
      </w:pPr>
      <w:r>
        <w:rPr>
          <w:rFonts w:hint="eastAsia" w:ascii="宋体" w:hAnsi="宋体" w:cs="宋体"/>
          <w:color w:val="000000"/>
          <w:sz w:val="52"/>
          <w:szCs w:val="52"/>
          <w:lang w:val="en-US" w:eastAsia="zh-CN"/>
        </w:rPr>
        <w:t>监</w:t>
      </w:r>
    </w:p>
    <w:p>
      <w:pPr>
        <w:spacing w:line="1200" w:lineRule="exact"/>
        <w:ind w:firstLine="535" w:firstLineChars="103"/>
        <w:jc w:val="center"/>
        <w:rPr>
          <w:rFonts w:hint="eastAsia" w:ascii="宋体" w:hAnsi="宋体" w:cs="宋体"/>
          <w:color w:val="000000"/>
          <w:sz w:val="52"/>
          <w:szCs w:val="52"/>
          <w:lang w:val="en-US" w:eastAsia="zh-CN"/>
        </w:rPr>
      </w:pPr>
      <w:r>
        <w:rPr>
          <w:rFonts w:hint="eastAsia" w:ascii="宋体" w:hAnsi="宋体" w:cs="宋体"/>
          <w:color w:val="000000"/>
          <w:sz w:val="52"/>
          <w:szCs w:val="52"/>
          <w:lang w:val="en-US" w:eastAsia="zh-CN"/>
        </w:rPr>
        <w:t>测</w:t>
      </w:r>
    </w:p>
    <w:p>
      <w:pPr>
        <w:spacing w:line="1200" w:lineRule="exact"/>
        <w:ind w:firstLine="535" w:firstLineChars="103"/>
        <w:jc w:val="center"/>
        <w:rPr>
          <w:rFonts w:hint="eastAsia" w:ascii="宋体" w:hAnsi="宋体" w:cs="宋体"/>
          <w:color w:val="000000"/>
          <w:sz w:val="52"/>
          <w:szCs w:val="52"/>
          <w:lang w:val="en-US" w:eastAsia="zh-CN"/>
        </w:rPr>
      </w:pPr>
      <w:r>
        <w:rPr>
          <w:rFonts w:hint="eastAsia" w:ascii="宋体" w:hAnsi="宋体" w:cs="宋体"/>
          <w:color w:val="000000"/>
          <w:sz w:val="52"/>
          <w:szCs w:val="52"/>
          <w:lang w:val="en-US" w:eastAsia="zh-CN"/>
        </w:rPr>
        <w:t>任</w:t>
      </w:r>
    </w:p>
    <w:p>
      <w:pPr>
        <w:spacing w:line="1200" w:lineRule="exact"/>
        <w:ind w:firstLine="535" w:firstLineChars="103"/>
        <w:jc w:val="center"/>
        <w:rPr>
          <w:rFonts w:hint="eastAsia" w:ascii="宋体" w:hAnsi="宋体" w:cs="宋体"/>
          <w:color w:val="000000"/>
          <w:sz w:val="52"/>
          <w:szCs w:val="52"/>
          <w:lang w:val="en-US" w:eastAsia="zh-CN"/>
        </w:rPr>
      </w:pPr>
      <w:r>
        <w:rPr>
          <w:rFonts w:hint="eastAsia" w:ascii="宋体" w:hAnsi="宋体" w:cs="宋体"/>
          <w:color w:val="000000"/>
          <w:sz w:val="52"/>
          <w:szCs w:val="52"/>
          <w:lang w:val="en-US" w:eastAsia="zh-CN"/>
        </w:rPr>
        <w:t>务</w:t>
      </w:r>
    </w:p>
    <w:p>
      <w:pPr>
        <w:spacing w:line="1200" w:lineRule="exact"/>
        <w:ind w:firstLine="535" w:firstLineChars="103"/>
        <w:jc w:val="center"/>
        <w:rPr>
          <w:rFonts w:hint="eastAsia" w:ascii="宋体" w:eastAsia="宋体" w:cs="Times New Roman"/>
          <w:color w:val="000000"/>
          <w:sz w:val="52"/>
          <w:szCs w:val="52"/>
          <w:lang w:eastAsia="zh-CN"/>
        </w:rPr>
      </w:pPr>
      <w:r>
        <w:rPr>
          <w:rFonts w:hint="eastAsia" w:ascii="宋体" w:hAnsi="宋体" w:cs="宋体"/>
          <w:color w:val="000000"/>
          <w:sz w:val="52"/>
          <w:szCs w:val="52"/>
          <w:lang w:val="en-US" w:eastAsia="zh-CN"/>
        </w:rPr>
        <w:t>书</w:t>
      </w:r>
    </w:p>
    <w:p>
      <w:pPr>
        <w:tabs>
          <w:tab w:val="left" w:pos="3045"/>
        </w:tabs>
        <w:rPr>
          <w:rFonts w:ascii="宋体" w:cs="Times New Roman"/>
          <w:color w:val="000000"/>
          <w:sz w:val="32"/>
          <w:szCs w:val="32"/>
        </w:rPr>
      </w:pPr>
    </w:p>
    <w:p>
      <w:pPr>
        <w:tabs>
          <w:tab w:val="left" w:pos="3045"/>
        </w:tabs>
        <w:rPr>
          <w:rFonts w:ascii="宋体" w:cs="Times New Roman"/>
          <w:color w:val="000000"/>
          <w:sz w:val="32"/>
          <w:szCs w:val="32"/>
        </w:rPr>
      </w:pPr>
    </w:p>
    <w:p>
      <w:pPr>
        <w:tabs>
          <w:tab w:val="left" w:pos="3045"/>
        </w:tabs>
        <w:rPr>
          <w:rFonts w:ascii="宋体" w:cs="Times New Roman"/>
          <w:color w:val="000000"/>
          <w:sz w:val="32"/>
          <w:szCs w:val="32"/>
        </w:rPr>
      </w:pPr>
    </w:p>
    <w:p>
      <w:pPr>
        <w:spacing w:line="500" w:lineRule="exact"/>
        <w:rPr>
          <w:rFonts w:ascii="宋体" w:cs="Times New Roman"/>
          <w:b/>
          <w:bCs/>
          <w:color w:val="000000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312" w:beforeLines="100" w:beforeAutospacing="0" w:after="0" w:afterAutospacing="0" w:line="360" w:lineRule="auto"/>
        <w:ind w:left="0" w:right="0" w:firstLine="562" w:firstLineChars="200"/>
        <w:jc w:val="left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"/>
        </w:rPr>
        <w:t>一、工程概况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项目位于海南省定安县环城南三环路与定富路交叉口东南侧，本项目项目占地80亩，地上建筑面积96712.56平方米，地下建筑面积4025.55平方米，最高建筑高度39.9米，建设内容为6栋标准厂房及厂房及其连廊、2栋仓库、1栋科研中心、1栋中试中心、1栋动力中心、1栋污水处理用房及3个门房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2" w:firstLineChars="200"/>
        <w:jc w:val="left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"/>
        </w:rPr>
        <w:t>二、项目基本信息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1.结构设计使用年限为50年。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2.结构安全等级：主体结构为二级。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3.地震烈度：8度，地震动峰值加速度0.2g。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2" w:firstLineChars="200"/>
        <w:jc w:val="left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"/>
        </w:rPr>
        <w:t>三、工作内容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1、本项目应进行施工期间和使用期间的变形监测。变形监测应满足《工程测量通用规范》GB55018-2021、《建筑变形测量规范》JGJ8-2016相关要求。当监测过程中发生下列情况之一时，应立即进行监测预警，同时提高监测频率或增加监测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1) 变形量或变形速率出现异常变化；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2) 变形量或变形速率达到或超出变形预警值；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3) 工程开挖面或周边出现塌陷、滑坡；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4) 工程本身或其周边环境出现异常；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5) 由于地震、暴雨、冻融等自然灾害引起的其他变形异常情况。</w:t>
      </w:r>
    </w:p>
    <w:p>
      <w:pPr>
        <w:pStyle w:val="7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2、监测内容如下: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2.1、沉降观测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本项目设置沉降观测点共计xx个，沉降观测点设于地面一层，地面一层竖向构件施工完毕后即开始观测，观测精度不应低于二等。当最后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天的沉降速率小于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mm/d时可认为已进入下沉稳定阶段。</w:t>
      </w:r>
    </w:p>
    <w:p>
      <w:pPr>
        <w:pStyle w:val="7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施工期间观测频率要求如下：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本项目为工业建筑，桩端持力层为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，主体封顶后每1个月观测1次，墙体砌筑完成后每2个月观测1次至竣工验收，临竣工验收时应观测1次。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施工期间监测频率应根据工程结构特点及加载情况确定，应至少在荷载增加到25%、50%、75%和100%时各观测1次。对大型、特殊监测对象，应提高监测频率。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施工过程中若暂停工，在停工时及重新开工时应各观测1次，停工期间可每隔2～3个月观测1次；停工期间及工程主体完工至竣工验收期间，应按工程设计、施工要求确定检测频率。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观测过程中，若发现大规模沉降、严重不均匀沉降或严重裂缝等，或出现基础附近地面荷载突然增减、基础四周大量积水、长时间连续降雨等情况，应提高观测频率。突然发生异常情况时(包括主体封顶后某次观测结果显著增大时)，应及时通知监理、设计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使用期间观测频率要求：可在第一年观测4次，第二年观测3次，第三年后每年观测1次，至沉降达到稳定状态或满足观测要求为止。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建筑物使用期间需沉降观测时观测标志采用暗装式（图-1），仅施工阶段沉降观测标志可采用明装式（图-2）。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综上所述，本项目各沉降观测点总观测次数暂定为：主体施工阶段为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次（不含停工期间），使用期间为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次（第三年为止），共计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次。</w:t>
      </w:r>
    </w:p>
    <w:p>
      <w:pPr>
        <w:pStyle w:val="7"/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133975" cy="2847975"/>
            <wp:effectExtent l="0" t="0" r="9525" b="952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2.2、抗浮工程竖向变形监测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本项目需进行抗浮工程竖向变形监测，监测点位为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个。观测精度不应低于二等，观测时间应持续至竣工验收后一年。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（1）首次观测在底层竖向构件浇筑完毕时即开始，此后地下室每施工完毕一层即观测1次，地下室底板后浇带及外墙后浇带封闭一个月时观测1次，地下室顶板覆土完成时观测1次，雨季的中后期应观测1次，主体结构验收前应观测1次，临竣工验收时应观测1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使用期间观测频率要求：竣工验收以后第一年内观测4次，以后每年观测2次，至变形达到稳定状态或满足观测要求为止。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（2）顶板施工完毕未及时完成覆土时，每三个月观测1次直至覆土完成，雨季时应提高观测频率。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（3）观测标志可采用明装式（图-2），设置于距地高度约0.5m~1.0m处，观测杆采用不锈钢，直径可取16mm。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综上所述，本项目各竖向变形监测点总观测次数暂定为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2.3、施工期间变形监测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施工期间变形监测内容应符合下列规定：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（1）应进行沉降监测，观测精度不应低于二等，变形监测点布置同沉降监测点。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（2）对高层和超高层建筑、体形狭长工程结构应进行水平位移监测、垂直度。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1）水平位移观测的周期，应符合下列规定：施工期间，可在建筑每加高1层观测1次，主体结构封顶后，可每两个月观测1次。使用期间，可在第一年观测4次，第二年观测3次，第三年后每年观测1次，直至稳定为止。若在观测期间发现异常或特殊情况，应提高观测频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综上所述，本项目各水平位移监测点总观测次数暂定为：主体施工阶段为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次，使用期间为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次（第三年为止），共计</w:t>
      </w:r>
      <w:r>
        <w:rPr>
          <w:rFonts w:hint="eastAsia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"/>
        </w:rPr>
        <w:t>XXXX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2) 对大跨度结构应进行挠度监测、日照变形监测、风振变形监测。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施工期间变形监测要求按《建筑变形测量规范》（JGJ8-2016)相应规范执行。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2" w:firstLineChars="200"/>
        <w:jc w:val="left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"/>
        </w:rPr>
        <w:t>四、其他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监测方案需有资质的中标监测单位编制，经设计、监理和建设单位等共同确认后实施，方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案必须包括上述监测内容。对监测结果应及时进行反馈，发现异常情况应及时通知设计人员，以便研究对策。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本监测要求不详之处，参照《工程测量通用规范》GB55018-2021、《建筑变形测量规范》（JGJ8-2016)等相关要求。</w:t>
      </w:r>
    </w:p>
    <w:sectPr>
      <w:headerReference r:id="rId3" w:type="default"/>
      <w:footerReference r:id="rId4" w:type="default"/>
      <w:pgSz w:w="11906" w:h="16838"/>
      <w:pgMar w:top="935" w:right="1304" w:bottom="1091" w:left="1304" w:header="851" w:footer="567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rPr>
        <w:rFonts w:hint="eastAsia" w:cs="宋体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5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  <w:r>
      <w:rPr>
        <w:kern w:val="0"/>
      </w:rPr>
      <w:t xml:space="preserve"> </w:t>
    </w:r>
    <w:r>
      <w:rPr>
        <w:rFonts w:hint="eastAsia" w:cs="宋体"/>
        <w:kern w:val="0"/>
      </w:rPr>
      <w:t>共</w:t>
    </w:r>
    <w:r>
      <w:rPr>
        <w:kern w:val="0"/>
      </w:rPr>
      <w:t xml:space="preserve"> 5</w:t>
    </w:r>
    <w:r>
      <w:rPr>
        <w:rFonts w:hint="eastAsia" w:cs="宋体"/>
        <w:kern w:val="0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0B5346"/>
    <w:multiLevelType w:val="multilevel"/>
    <w:tmpl w:val="D00B5346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911BE"/>
    <w:rsid w:val="00063545"/>
    <w:rsid w:val="00086DDF"/>
    <w:rsid w:val="0017466B"/>
    <w:rsid w:val="00244685"/>
    <w:rsid w:val="00293643"/>
    <w:rsid w:val="002D359E"/>
    <w:rsid w:val="00350615"/>
    <w:rsid w:val="00374C7C"/>
    <w:rsid w:val="00393545"/>
    <w:rsid w:val="003B0D48"/>
    <w:rsid w:val="005406EA"/>
    <w:rsid w:val="00563D28"/>
    <w:rsid w:val="00584013"/>
    <w:rsid w:val="005A17F4"/>
    <w:rsid w:val="005C6A3F"/>
    <w:rsid w:val="00621085"/>
    <w:rsid w:val="006C7253"/>
    <w:rsid w:val="00765E16"/>
    <w:rsid w:val="0082391E"/>
    <w:rsid w:val="009A7310"/>
    <w:rsid w:val="00A40F9B"/>
    <w:rsid w:val="00AB59F9"/>
    <w:rsid w:val="00AC0860"/>
    <w:rsid w:val="00B00C91"/>
    <w:rsid w:val="00B66F4C"/>
    <w:rsid w:val="00CC47E3"/>
    <w:rsid w:val="00CF24E7"/>
    <w:rsid w:val="00D12253"/>
    <w:rsid w:val="00E56116"/>
    <w:rsid w:val="00E64CBC"/>
    <w:rsid w:val="00EB6946"/>
    <w:rsid w:val="00FB18CF"/>
    <w:rsid w:val="050B05A0"/>
    <w:rsid w:val="06F23B37"/>
    <w:rsid w:val="08F03B7A"/>
    <w:rsid w:val="09624F7E"/>
    <w:rsid w:val="0A4227BD"/>
    <w:rsid w:val="0E090F63"/>
    <w:rsid w:val="1227145C"/>
    <w:rsid w:val="187A1010"/>
    <w:rsid w:val="1D9563C3"/>
    <w:rsid w:val="1FF37E2B"/>
    <w:rsid w:val="238C19A2"/>
    <w:rsid w:val="25F911BE"/>
    <w:rsid w:val="2ECE07A0"/>
    <w:rsid w:val="337111CA"/>
    <w:rsid w:val="36335371"/>
    <w:rsid w:val="37F83A4B"/>
    <w:rsid w:val="3C4F0491"/>
    <w:rsid w:val="3F777A2D"/>
    <w:rsid w:val="49892BEB"/>
    <w:rsid w:val="4BB55625"/>
    <w:rsid w:val="4BF37CD1"/>
    <w:rsid w:val="515C4A54"/>
    <w:rsid w:val="524C33EC"/>
    <w:rsid w:val="6A0C6520"/>
    <w:rsid w:val="6A18651A"/>
    <w:rsid w:val="6AF14013"/>
    <w:rsid w:val="6B566B28"/>
    <w:rsid w:val="6B7809BD"/>
    <w:rsid w:val="6C76527F"/>
    <w:rsid w:val="6D2B16F3"/>
    <w:rsid w:val="708F0DF9"/>
    <w:rsid w:val="714F3F42"/>
    <w:rsid w:val="768E34CF"/>
    <w:rsid w:val="7BC3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360" w:lineRule="auto"/>
    </w:pPr>
    <w:rPr>
      <w:rFonts w:ascii="宋体" w:hAnsi="宋体"/>
      <w:kern w:val="0"/>
      <w:sz w:val="24"/>
      <w:szCs w:val="24"/>
    </w:rPr>
  </w:style>
  <w:style w:type="paragraph" w:styleId="3">
    <w:name w:val="Title"/>
    <w:basedOn w:val="1"/>
    <w:next w:val="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页脚 字符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页眉 字符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批注框文本 字符"/>
    <w:link w:val="4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6</Pages>
  <Words>470</Words>
  <Characters>2679</Characters>
  <Lines>22</Lines>
  <Paragraphs>6</Paragraphs>
  <TotalTime>10</TotalTime>
  <ScaleCrop>false</ScaleCrop>
  <LinksUpToDate>false</LinksUpToDate>
  <CharactersWithSpaces>3143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2017-08-08T03:20:00Z</dcterms:created>
  <dc:creator>Administrator</dc:creator>
  <cp:lastModifiedBy>精神小伙</cp:lastModifiedBy>
  <dcterms:modified xsi:type="dcterms:W3CDTF">2024-04-22T11:05:32Z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3A4493A658C849AE9BB5EE6DC13C2884</vt:lpwstr>
  </property>
</Properties>
</file>